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66" w:rsidRDefault="00205466" w:rsidP="00F36147">
      <w:pPr>
        <w:rPr>
          <w:rFonts w:ascii="Calibri" w:hAnsi="Calibri" w:cs="Arial"/>
        </w:rPr>
      </w:pPr>
      <w:r>
        <w:rPr>
          <w:rFonts w:ascii="Calibri" w:hAnsi="Calibri" w:cs="Arial"/>
          <w:b/>
        </w:rPr>
        <w:t>Bijlage bij accreditatie aanvraag TLC Masterclasses</w:t>
      </w:r>
    </w:p>
    <w:p w:rsidR="00205466" w:rsidRDefault="00205466" w:rsidP="00F36147">
      <w:pPr>
        <w:rPr>
          <w:rFonts w:ascii="Calibri" w:hAnsi="Calibri" w:cs="Arial"/>
        </w:rPr>
      </w:pPr>
    </w:p>
    <w:p w:rsidR="00205466" w:rsidRDefault="00205466" w:rsidP="00F36147">
      <w:pPr>
        <w:rPr>
          <w:rFonts w:ascii="Calibri" w:hAnsi="Calibri" w:cs="Arial"/>
        </w:rPr>
      </w:pPr>
      <w:r>
        <w:rPr>
          <w:rFonts w:ascii="Calibri" w:hAnsi="Calibri" w:cs="Arial"/>
        </w:rPr>
        <w:t xml:space="preserve">Er worden in totaal vier masterclasses georganiseerd voor de zomer 2021. </w:t>
      </w:r>
    </w:p>
    <w:p w:rsidR="00205466" w:rsidRDefault="00205466" w:rsidP="00F36147">
      <w:pPr>
        <w:rPr>
          <w:rFonts w:ascii="Calibri" w:hAnsi="Calibri" w:cs="Arial"/>
        </w:rPr>
      </w:pPr>
      <w:r>
        <w:rPr>
          <w:rFonts w:ascii="Calibri" w:hAnsi="Calibri" w:cs="Arial"/>
        </w:rPr>
        <w:t xml:space="preserve">Hieronder wordt het draaiboek van deze </w:t>
      </w:r>
      <w:r w:rsidR="00532F04">
        <w:rPr>
          <w:rFonts w:ascii="Calibri" w:hAnsi="Calibri" w:cs="Arial"/>
        </w:rPr>
        <w:t xml:space="preserve">afzonderlijke </w:t>
      </w:r>
      <w:r>
        <w:rPr>
          <w:rFonts w:ascii="Calibri" w:hAnsi="Calibri" w:cs="Arial"/>
        </w:rPr>
        <w:t xml:space="preserve">sessies beschreven. </w:t>
      </w:r>
    </w:p>
    <w:p w:rsidR="00205466" w:rsidRDefault="00205466" w:rsidP="00F36147">
      <w:pPr>
        <w:rPr>
          <w:rFonts w:ascii="Calibri" w:hAnsi="Calibri" w:cs="Arial"/>
        </w:rPr>
      </w:pPr>
    </w:p>
    <w:p w:rsidR="000F1431" w:rsidRDefault="000F1431">
      <w:pPr>
        <w:rPr>
          <w:rFonts w:ascii="Calibri" w:hAnsi="Calibri" w:cs="Arial"/>
          <w:b/>
        </w:rPr>
      </w:pPr>
      <w:r>
        <w:rPr>
          <w:rFonts w:ascii="Calibri" w:hAnsi="Calibri" w:cs="Arial"/>
          <w:b/>
        </w:rPr>
        <w:br w:type="page"/>
      </w:r>
    </w:p>
    <w:p w:rsidR="00205466" w:rsidRPr="00532F04" w:rsidRDefault="00205466" w:rsidP="00F36147">
      <w:pPr>
        <w:rPr>
          <w:rFonts w:ascii="Calibri" w:hAnsi="Calibri" w:cs="Arial"/>
          <w:b/>
          <w:sz w:val="22"/>
          <w:szCs w:val="22"/>
        </w:rPr>
      </w:pPr>
      <w:r w:rsidRPr="00532F04">
        <w:rPr>
          <w:rFonts w:ascii="Calibri" w:hAnsi="Calibri" w:cs="Arial"/>
          <w:b/>
          <w:sz w:val="22"/>
          <w:szCs w:val="22"/>
        </w:rPr>
        <w:lastRenderedPageBreak/>
        <w:t>TLC Masterclass 1</w:t>
      </w:r>
    </w:p>
    <w:p w:rsidR="00205466" w:rsidRPr="00532F04" w:rsidRDefault="00205466" w:rsidP="00205466">
      <w:pPr>
        <w:rPr>
          <w:rFonts w:ascii="Calibri" w:hAnsi="Calibri" w:cs="Arial"/>
          <w:b/>
          <w:sz w:val="22"/>
          <w:szCs w:val="22"/>
        </w:rPr>
      </w:pPr>
      <w:r w:rsidRPr="00532F04">
        <w:rPr>
          <w:rFonts w:ascii="Calibri" w:hAnsi="Calibri" w:cs="Arial"/>
          <w:b/>
          <w:sz w:val="22"/>
          <w:szCs w:val="22"/>
        </w:rPr>
        <w:t>Oog voor studentenwelzijn: Sociale verbondenheid stimuleren in online onderwijs</w:t>
      </w:r>
    </w:p>
    <w:p w:rsidR="00205466" w:rsidRPr="00532F04" w:rsidRDefault="00205466" w:rsidP="00205466">
      <w:pPr>
        <w:rPr>
          <w:rFonts w:ascii="Calibri" w:hAnsi="Calibri" w:cs="Arial"/>
          <w:b/>
          <w:sz w:val="22"/>
          <w:szCs w:val="22"/>
        </w:rPr>
      </w:pPr>
    </w:p>
    <w:p w:rsidR="00205466" w:rsidRPr="00532F04" w:rsidRDefault="00205466" w:rsidP="00205466">
      <w:pPr>
        <w:rPr>
          <w:rFonts w:ascii="Calibri" w:hAnsi="Calibri" w:cs="Arial"/>
          <w:sz w:val="22"/>
          <w:szCs w:val="22"/>
        </w:rPr>
      </w:pPr>
      <w:r w:rsidRPr="00532F04">
        <w:rPr>
          <w:rFonts w:ascii="Calibri" w:hAnsi="Calibri" w:cs="Arial"/>
          <w:b/>
          <w:sz w:val="22"/>
          <w:szCs w:val="22"/>
        </w:rPr>
        <w:t>Tijdsduur</w:t>
      </w:r>
      <w:r w:rsidRPr="00532F04">
        <w:rPr>
          <w:rFonts w:ascii="Calibri" w:hAnsi="Calibri" w:cs="Arial"/>
          <w:sz w:val="22"/>
          <w:szCs w:val="22"/>
        </w:rPr>
        <w:t xml:space="preserve">: 1,5 uur </w:t>
      </w:r>
    </w:p>
    <w:p w:rsidR="00205466" w:rsidRPr="00532F04" w:rsidRDefault="00205466" w:rsidP="00205466">
      <w:pPr>
        <w:rPr>
          <w:rFonts w:ascii="Calibri" w:hAnsi="Calibri" w:cs="Arial"/>
          <w:sz w:val="22"/>
          <w:szCs w:val="22"/>
        </w:rPr>
      </w:pPr>
    </w:p>
    <w:p w:rsidR="00205466" w:rsidRPr="00532F04" w:rsidRDefault="00205466" w:rsidP="00205466">
      <w:pPr>
        <w:rPr>
          <w:rFonts w:ascii="Calibri" w:hAnsi="Calibri" w:cs="Arial"/>
          <w:b/>
          <w:sz w:val="22"/>
          <w:szCs w:val="22"/>
        </w:rPr>
      </w:pPr>
      <w:r w:rsidRPr="00532F04">
        <w:rPr>
          <w:rFonts w:ascii="Calibri" w:hAnsi="Calibri" w:cs="Arial"/>
          <w:b/>
          <w:sz w:val="22"/>
          <w:szCs w:val="22"/>
        </w:rPr>
        <w:t>Inhoud</w:t>
      </w:r>
    </w:p>
    <w:p w:rsidR="00205466" w:rsidRPr="00532F04" w:rsidRDefault="00205466" w:rsidP="00205466">
      <w:pPr>
        <w:rPr>
          <w:rFonts w:ascii="Calibri" w:hAnsi="Calibri" w:cs="Arial"/>
          <w:sz w:val="22"/>
          <w:szCs w:val="22"/>
        </w:rPr>
      </w:pPr>
      <w:r w:rsidRPr="00532F04">
        <w:rPr>
          <w:rFonts w:ascii="Calibri" w:hAnsi="Calibri" w:cs="Arial"/>
          <w:sz w:val="22"/>
          <w:szCs w:val="22"/>
        </w:rPr>
        <w:t xml:space="preserve">Als docent kun je de motivatie van je studenten vergroten door te voorzien in drie behoeften: autonomie, gevoel van competentie en sociale verbondenheid. Maar hoe zorg je er nu voor dat studenten die elkaar en de docent nauwelijks ontmoeten elkaar kennen? Sociaal verbonden voelen met elkaar en de docent? In deze TLC Masterclass wordt dit thema besproken en ideeën om aandacht te blijven houden voor sociale verbondenheid gedeeld. </w:t>
      </w:r>
    </w:p>
    <w:p w:rsidR="00205466" w:rsidRPr="00532F04" w:rsidRDefault="00205466" w:rsidP="00205466">
      <w:pPr>
        <w:rPr>
          <w:rFonts w:ascii="Calibri" w:hAnsi="Calibri" w:cs="Arial"/>
          <w:sz w:val="22"/>
          <w:szCs w:val="22"/>
        </w:rPr>
      </w:pPr>
      <w:r w:rsidRPr="00532F04">
        <w:rPr>
          <w:rFonts w:ascii="Calibri" w:hAnsi="Calibri" w:cs="Arial"/>
          <w:sz w:val="22"/>
          <w:szCs w:val="22"/>
        </w:rPr>
        <w:t>Als docent kan je bij elk onderwijsmoment hiervoor aandacht hebben. Aan het begin van het onderwijsmoment door even aandacht te hebben voor de context waarin de studenten zich bevinden. Tijdens de sessie door studenten met elkaar te laten samenwerken en/of elkaar feedback te laten geven tijdens of na het contactmoment. In deze sessie wordt het belang van sociale verbondenheid toegelicht en worden tips hierover gedeeld door Wilfred Rubens.</w:t>
      </w:r>
    </w:p>
    <w:p w:rsidR="00205466" w:rsidRPr="00532F04" w:rsidRDefault="00205466" w:rsidP="00205466">
      <w:pPr>
        <w:rPr>
          <w:rFonts w:ascii="Calibri" w:hAnsi="Calibri" w:cs="Arial"/>
          <w:sz w:val="22"/>
          <w:szCs w:val="22"/>
        </w:rPr>
      </w:pPr>
      <w:r w:rsidRPr="00532F04">
        <w:rPr>
          <w:rFonts w:ascii="Calibri" w:hAnsi="Calibri" w:cs="Arial"/>
          <w:sz w:val="22"/>
          <w:szCs w:val="22"/>
        </w:rPr>
        <w:t xml:space="preserve"> </w:t>
      </w:r>
    </w:p>
    <w:p w:rsidR="00205466" w:rsidRPr="00532F04" w:rsidRDefault="00205466" w:rsidP="00205466">
      <w:pPr>
        <w:rPr>
          <w:rFonts w:ascii="Calibri" w:hAnsi="Calibri" w:cs="Arial"/>
          <w:sz w:val="22"/>
          <w:szCs w:val="22"/>
        </w:rPr>
      </w:pPr>
      <w:r w:rsidRPr="00532F04">
        <w:rPr>
          <w:rFonts w:ascii="Calibri" w:hAnsi="Calibri" w:cs="Arial"/>
          <w:sz w:val="22"/>
          <w:szCs w:val="22"/>
        </w:rPr>
        <w:t>Daarnaast zal  een docent een praktijkvoorbeeld delen. Wilfred interviewt een student over zijn/haar ervaringen in het huidige onderwijs.</w:t>
      </w:r>
    </w:p>
    <w:p w:rsidR="00205466" w:rsidRPr="00532F04" w:rsidRDefault="00205466" w:rsidP="00205466">
      <w:pPr>
        <w:rPr>
          <w:rFonts w:ascii="Calibri" w:hAnsi="Calibri" w:cs="Arial"/>
          <w:sz w:val="22"/>
          <w:szCs w:val="22"/>
        </w:rPr>
      </w:pPr>
    </w:p>
    <w:p w:rsidR="00205466" w:rsidRPr="00532F04" w:rsidRDefault="00205466" w:rsidP="00205466">
      <w:pPr>
        <w:rPr>
          <w:rFonts w:ascii="Calibri" w:hAnsi="Calibri" w:cs="Arial"/>
          <w:sz w:val="22"/>
          <w:szCs w:val="22"/>
        </w:rPr>
      </w:pPr>
      <w:r w:rsidRPr="00532F04">
        <w:rPr>
          <w:rFonts w:ascii="Calibri" w:hAnsi="Calibri" w:cs="Arial"/>
          <w:sz w:val="22"/>
          <w:szCs w:val="22"/>
        </w:rPr>
        <w:t xml:space="preserve">Aan het eind van de sessie heb je inspiratie opgedaan over wat je zelf kan doen in je onderwijs zodat studenten zich een onderdeel voelen van de opleiding en heb je deze ideeën kunnen bespreken met anderen. </w:t>
      </w:r>
    </w:p>
    <w:p w:rsidR="00205466" w:rsidRPr="00532F04" w:rsidRDefault="00205466" w:rsidP="00205466">
      <w:pPr>
        <w:rPr>
          <w:rFonts w:ascii="Calibri" w:hAnsi="Calibri" w:cs="Arial"/>
          <w:sz w:val="22"/>
          <w:szCs w:val="22"/>
        </w:rPr>
      </w:pPr>
    </w:p>
    <w:p w:rsidR="00205466" w:rsidRPr="00532F04" w:rsidRDefault="00205466" w:rsidP="00205466">
      <w:pPr>
        <w:rPr>
          <w:rFonts w:ascii="Calibri" w:hAnsi="Calibri" w:cs="Arial"/>
          <w:b/>
          <w:sz w:val="22"/>
          <w:szCs w:val="22"/>
        </w:rPr>
      </w:pPr>
      <w:r w:rsidRPr="00532F04">
        <w:rPr>
          <w:rFonts w:ascii="Calibri" w:hAnsi="Calibri" w:cs="Arial"/>
          <w:b/>
          <w:sz w:val="22"/>
          <w:szCs w:val="22"/>
        </w:rPr>
        <w:t>Leeropbrengsten:</w:t>
      </w:r>
    </w:p>
    <w:p w:rsidR="00205466" w:rsidRPr="00532F04" w:rsidRDefault="00205466" w:rsidP="00205466">
      <w:pPr>
        <w:pStyle w:val="Lijstalinea"/>
        <w:numPr>
          <w:ilvl w:val="0"/>
          <w:numId w:val="37"/>
        </w:numPr>
        <w:spacing w:after="200" w:line="276" w:lineRule="auto"/>
        <w:contextualSpacing/>
        <w:rPr>
          <w:rFonts w:ascii="Calibri" w:hAnsi="Calibri" w:cs="Arial"/>
          <w:sz w:val="22"/>
          <w:szCs w:val="22"/>
        </w:rPr>
      </w:pPr>
      <w:r w:rsidRPr="00532F04">
        <w:rPr>
          <w:rFonts w:ascii="Calibri" w:hAnsi="Calibri" w:cs="Arial"/>
          <w:sz w:val="22"/>
          <w:szCs w:val="22"/>
        </w:rPr>
        <w:t>Deelnemers kunnen vertellen welke tips zij kunnen toepassen in (de voorbereiding) op hun onderwijsmoment om de binding tussen studenten te vergroten?</w:t>
      </w:r>
    </w:p>
    <w:p w:rsidR="00205466" w:rsidRPr="00532F04" w:rsidRDefault="00205466" w:rsidP="00205466">
      <w:pPr>
        <w:pStyle w:val="Lijstalinea"/>
        <w:numPr>
          <w:ilvl w:val="0"/>
          <w:numId w:val="37"/>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kunnen uitleggen wat het belang is dat elke docent activiteiten opneemt in het online onderwijs voor de interactie met en tussen studenten. </w:t>
      </w:r>
    </w:p>
    <w:p w:rsidR="00205466" w:rsidRPr="00532F04" w:rsidRDefault="00205466" w:rsidP="00205466">
      <w:pPr>
        <w:rPr>
          <w:rFonts w:ascii="Calibri" w:hAnsi="Calibri" w:cs="Arial"/>
          <w:b/>
          <w:sz w:val="22"/>
          <w:szCs w:val="22"/>
        </w:rPr>
      </w:pPr>
      <w:r w:rsidRPr="00532F04">
        <w:rPr>
          <w:rFonts w:ascii="Calibri" w:hAnsi="Calibri" w:cs="Arial"/>
          <w:b/>
          <w:sz w:val="22"/>
          <w:szCs w:val="22"/>
        </w:rPr>
        <w:t>Technologie:</w:t>
      </w:r>
    </w:p>
    <w:p w:rsidR="00205466" w:rsidRPr="00532F04" w:rsidRDefault="00205466" w:rsidP="00205466">
      <w:pPr>
        <w:pStyle w:val="Lijstalinea"/>
        <w:numPr>
          <w:ilvl w:val="0"/>
          <w:numId w:val="38"/>
        </w:numPr>
        <w:spacing w:after="200" w:line="276" w:lineRule="auto"/>
        <w:contextualSpacing/>
        <w:rPr>
          <w:rFonts w:ascii="Calibri" w:hAnsi="Calibri" w:cs="Arial"/>
          <w:sz w:val="22"/>
          <w:szCs w:val="22"/>
        </w:rPr>
      </w:pPr>
      <w:r w:rsidRPr="00532F04">
        <w:rPr>
          <w:rFonts w:ascii="Calibri" w:hAnsi="Calibri" w:cs="Arial"/>
          <w:sz w:val="22"/>
          <w:szCs w:val="22"/>
        </w:rPr>
        <w:t xml:space="preserve">Masterclass verloopt via Zoom. </w:t>
      </w:r>
    </w:p>
    <w:p w:rsidR="00205466" w:rsidRPr="00532F04" w:rsidRDefault="00205466" w:rsidP="00205466">
      <w:pPr>
        <w:pStyle w:val="Lijstalinea"/>
        <w:numPr>
          <w:ilvl w:val="0"/>
          <w:numId w:val="38"/>
        </w:numPr>
        <w:spacing w:after="200" w:line="276" w:lineRule="auto"/>
        <w:contextualSpacing/>
        <w:rPr>
          <w:rFonts w:ascii="Calibri" w:hAnsi="Calibri" w:cs="Arial"/>
          <w:sz w:val="22"/>
          <w:szCs w:val="22"/>
        </w:rPr>
      </w:pPr>
      <w:r w:rsidRPr="00532F04">
        <w:rPr>
          <w:rFonts w:ascii="Calibri" w:hAnsi="Calibri" w:cs="Arial"/>
          <w:sz w:val="22"/>
          <w:szCs w:val="22"/>
        </w:rPr>
        <w:t>Moderator: Karline Timmermans</w:t>
      </w:r>
    </w:p>
    <w:p w:rsidR="00205466" w:rsidRPr="00532F04" w:rsidRDefault="00205466" w:rsidP="00205466">
      <w:pPr>
        <w:pStyle w:val="Lijstalinea"/>
        <w:numPr>
          <w:ilvl w:val="0"/>
          <w:numId w:val="38"/>
        </w:numPr>
        <w:spacing w:after="200" w:line="276" w:lineRule="auto"/>
        <w:contextualSpacing/>
        <w:rPr>
          <w:rFonts w:ascii="Calibri" w:hAnsi="Calibri" w:cs="Arial"/>
          <w:sz w:val="22"/>
          <w:szCs w:val="22"/>
        </w:rPr>
      </w:pPr>
      <w:r w:rsidRPr="00532F04">
        <w:rPr>
          <w:rFonts w:ascii="Calibri" w:hAnsi="Calibri" w:cs="Arial"/>
          <w:sz w:val="22"/>
          <w:szCs w:val="22"/>
        </w:rPr>
        <w:t>Presentator / ‘dagvoorzitter’: Danielle Sent</w:t>
      </w:r>
    </w:p>
    <w:p w:rsidR="00205466" w:rsidRPr="00532F04" w:rsidRDefault="00205466" w:rsidP="00205466">
      <w:pPr>
        <w:rPr>
          <w:rFonts w:ascii="Calibri" w:hAnsi="Calibri" w:cs="Arial"/>
          <w:b/>
          <w:sz w:val="22"/>
          <w:szCs w:val="22"/>
        </w:rPr>
      </w:pPr>
      <w:r w:rsidRPr="00532F04">
        <w:rPr>
          <w:rFonts w:ascii="Calibri" w:hAnsi="Calibri" w:cs="Arial"/>
          <w:b/>
          <w:sz w:val="22"/>
          <w:szCs w:val="22"/>
        </w:rPr>
        <w:t xml:space="preserve">Programma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703"/>
      </w:tblGrid>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0.00-0.05</w:t>
            </w:r>
          </w:p>
        </w:tc>
        <w:tc>
          <w:tcPr>
            <w:tcW w:w="7703"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Ontvangst en voorstellen</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0.05-0.35</w:t>
            </w:r>
          </w:p>
        </w:tc>
        <w:tc>
          <w:tcPr>
            <w:tcW w:w="7703"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Wilfred Rubens</w:t>
            </w:r>
            <w:r w:rsidR="000F1431" w:rsidRPr="00532F04">
              <w:rPr>
                <w:rFonts w:ascii="Calibri" w:hAnsi="Calibri" w:cs="Arial"/>
                <w:sz w:val="22"/>
                <w:szCs w:val="22"/>
              </w:rPr>
              <w:t>*</w:t>
            </w:r>
            <w:r w:rsidRPr="00532F04">
              <w:rPr>
                <w:rFonts w:ascii="Calibri" w:hAnsi="Calibri" w:cs="Arial"/>
                <w:sz w:val="22"/>
                <w:szCs w:val="22"/>
              </w:rPr>
              <w:t>, edublogger en werkzaam bij de OU over het belang van sociale verbondenheid in online onderwijs; inclusief interactie met deelnemers</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0.35-0.45</w:t>
            </w:r>
          </w:p>
        </w:tc>
        <w:tc>
          <w:tcPr>
            <w:tcW w:w="7703"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 xml:space="preserve">Praktijkvoorbeeld van aanpassing in onderwijs bij Geneeskunde. Welke aanpassingen zijn er gedaan in dit blok om de sociale verbondenheid tussen studenten te stimuleren. </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0.45-0.55</w:t>
            </w:r>
          </w:p>
        </w:tc>
        <w:tc>
          <w:tcPr>
            <w:tcW w:w="7703"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Breakoutrooms: Hoe zou jij werken aan sociale verbondenheid?</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0.55-1.15</w:t>
            </w:r>
          </w:p>
        </w:tc>
        <w:tc>
          <w:tcPr>
            <w:tcW w:w="7703" w:type="dxa"/>
            <w:shd w:val="clear" w:color="auto" w:fill="auto"/>
          </w:tcPr>
          <w:p w:rsidR="00205466" w:rsidRPr="00532F04" w:rsidRDefault="00205466" w:rsidP="00205466">
            <w:pPr>
              <w:rPr>
                <w:rFonts w:ascii="Calibri" w:hAnsi="Calibri" w:cs="Arial"/>
                <w:sz w:val="22"/>
                <w:szCs w:val="22"/>
              </w:rPr>
            </w:pPr>
            <w:r w:rsidRPr="00532F04">
              <w:rPr>
                <w:rFonts w:ascii="Calibri" w:hAnsi="Calibri" w:cs="Arial"/>
                <w:sz w:val="22"/>
                <w:szCs w:val="22"/>
              </w:rPr>
              <w:t>Aanvullingen en tips van Wilfred Rubens om sociale verbondenheid toe te passen in online onderwijs; inclusief interactie met deelnemers</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1.15-1.25</w:t>
            </w:r>
          </w:p>
        </w:tc>
        <w:tc>
          <w:tcPr>
            <w:tcW w:w="7703"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Studentperspectief: interview van Wilfred Rubens met student over de ervaring van sociale betrokkenheid.</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 xml:space="preserve">1.25-1.30 </w:t>
            </w:r>
          </w:p>
        </w:tc>
        <w:tc>
          <w:tcPr>
            <w:tcW w:w="7703" w:type="dxa"/>
            <w:shd w:val="clear" w:color="auto" w:fill="auto"/>
          </w:tcPr>
          <w:p w:rsidR="00205466" w:rsidRPr="00532F04" w:rsidRDefault="00205466" w:rsidP="00035183">
            <w:pPr>
              <w:rPr>
                <w:rFonts w:ascii="Calibri" w:hAnsi="Calibri" w:cs="Arial"/>
                <w:sz w:val="22"/>
                <w:szCs w:val="22"/>
              </w:rPr>
            </w:pPr>
            <w:r w:rsidRPr="00532F04">
              <w:rPr>
                <w:rFonts w:ascii="Calibri" w:hAnsi="Calibri" w:cs="Arial"/>
                <w:sz w:val="22"/>
                <w:szCs w:val="22"/>
              </w:rPr>
              <w:t>Afsluiting</w:t>
            </w:r>
          </w:p>
        </w:tc>
      </w:tr>
      <w:tr w:rsidR="00205466" w:rsidRPr="00532F04" w:rsidTr="00035183">
        <w:tc>
          <w:tcPr>
            <w:tcW w:w="1369" w:type="dxa"/>
            <w:shd w:val="clear" w:color="auto" w:fill="auto"/>
          </w:tcPr>
          <w:p w:rsidR="00205466" w:rsidRPr="00532F04" w:rsidRDefault="00205466" w:rsidP="00035183">
            <w:pPr>
              <w:rPr>
                <w:rFonts w:ascii="Calibri" w:hAnsi="Calibri" w:cs="Arial"/>
                <w:sz w:val="22"/>
                <w:szCs w:val="22"/>
              </w:rPr>
            </w:pPr>
          </w:p>
        </w:tc>
        <w:tc>
          <w:tcPr>
            <w:tcW w:w="7703" w:type="dxa"/>
            <w:shd w:val="clear" w:color="auto" w:fill="auto"/>
          </w:tcPr>
          <w:p w:rsidR="00205466" w:rsidRPr="00532F04" w:rsidRDefault="00205466" w:rsidP="00035183">
            <w:pPr>
              <w:rPr>
                <w:rFonts w:ascii="Calibri" w:hAnsi="Calibri" w:cs="Arial"/>
                <w:sz w:val="22"/>
                <w:szCs w:val="22"/>
              </w:rPr>
            </w:pPr>
          </w:p>
        </w:tc>
      </w:tr>
    </w:tbl>
    <w:p w:rsidR="00205466" w:rsidRPr="00532F04" w:rsidRDefault="00205466" w:rsidP="00205466">
      <w:pPr>
        <w:rPr>
          <w:rFonts w:ascii="Calibri" w:hAnsi="Calibri" w:cs="Arial"/>
          <w:sz w:val="22"/>
          <w:szCs w:val="22"/>
        </w:rPr>
      </w:pPr>
    </w:p>
    <w:p w:rsidR="00205466" w:rsidRPr="00532F04" w:rsidRDefault="00205466" w:rsidP="00205466">
      <w:pPr>
        <w:rPr>
          <w:rFonts w:ascii="Calibri" w:hAnsi="Calibri" w:cs="Arial"/>
          <w:sz w:val="22"/>
          <w:szCs w:val="22"/>
        </w:rPr>
      </w:pPr>
    </w:p>
    <w:p w:rsidR="000F1431" w:rsidRPr="00532F04" w:rsidRDefault="000F1431">
      <w:pPr>
        <w:rPr>
          <w:rFonts w:ascii="Calibri" w:hAnsi="Calibri" w:cs="Arial"/>
          <w:sz w:val="22"/>
          <w:szCs w:val="22"/>
        </w:rPr>
      </w:pPr>
      <w:r w:rsidRPr="00532F04">
        <w:rPr>
          <w:rFonts w:ascii="Calibri" w:hAnsi="Calibri" w:cs="Arial"/>
          <w:sz w:val="22"/>
          <w:szCs w:val="22"/>
        </w:rPr>
        <w:lastRenderedPageBreak/>
        <w:t>* CV</w:t>
      </w:r>
    </w:p>
    <w:p w:rsidR="000F1431" w:rsidRPr="00532F04" w:rsidRDefault="000F1431">
      <w:pPr>
        <w:rPr>
          <w:rFonts w:ascii="Calibri" w:hAnsi="Calibri" w:cs="Arial"/>
          <w:sz w:val="22"/>
          <w:szCs w:val="22"/>
        </w:rPr>
      </w:pPr>
      <w:r w:rsidRPr="00532F04">
        <w:rPr>
          <w:rFonts w:ascii="Calibri" w:hAnsi="Calibri"/>
          <w:color w:val="1F1D20"/>
          <w:sz w:val="22"/>
          <w:szCs w:val="22"/>
          <w:shd w:val="clear" w:color="auto" w:fill="FFFFFF"/>
        </w:rPr>
        <w:t>Drs. Wilfred Rubens houdt zich sinds eind 1995 professioneel bezig met de vraag hoe je ICT kunt gebruiken voor het faciliteren en versterken van leren, opleiden en onderwijs. Sinds 1 maart 2015 is hij werkzaam als zelfstandig adviseur en projectleider. Daarnaast is hij verbonden als projectleider, docent en business developer aan de Open Universiteit. Hij houdt zich bezig met het ontwerpen van online en blended leerprogramma’s (verschillende formats), met advisering over het didactisch gebruik van ICT, met strategie-ontwikkeling en met het verzorgen van professionalisering. Verder blogt Wilfred bijna dagelijks over ‘technology enhanced learning’ en is hij (co-)auteur van twee boeken en diverse artikelen op dit terrein. Wilfred is ook lid van de adviesraad van de OEB (in Berlijn) en van de Next Learning. Hij is onbezoldigd redactielid van </w:t>
      </w:r>
      <w:hyperlink r:id="rId6" w:history="1">
        <w:r w:rsidRPr="00532F04">
          <w:rPr>
            <w:rFonts w:ascii="Calibri" w:hAnsi="Calibri"/>
            <w:color w:val="0000FF"/>
            <w:sz w:val="22"/>
            <w:szCs w:val="22"/>
            <w:u w:val="single"/>
          </w:rPr>
          <w:t>e-learning.nl</w:t>
        </w:r>
      </w:hyperlink>
      <w:r w:rsidRPr="00532F04">
        <w:rPr>
          <w:rFonts w:ascii="Calibri" w:hAnsi="Calibri"/>
          <w:color w:val="1F1D20"/>
          <w:sz w:val="22"/>
          <w:szCs w:val="22"/>
          <w:shd w:val="clear" w:color="auto" w:fill="FFFFFF"/>
        </w:rPr>
        <w:t>. Zie </w:t>
      </w:r>
      <w:hyperlink r:id="rId7" w:history="1">
        <w:r w:rsidRPr="00532F04">
          <w:rPr>
            <w:rFonts w:ascii="Calibri" w:hAnsi="Calibri"/>
            <w:color w:val="0000FF"/>
            <w:sz w:val="22"/>
            <w:szCs w:val="22"/>
            <w:u w:val="single"/>
          </w:rPr>
          <w:t>https://www.te-learning.nl/blog</w:t>
        </w:r>
      </w:hyperlink>
      <w:r w:rsidRPr="00532F04">
        <w:rPr>
          <w:rFonts w:ascii="Calibri" w:hAnsi="Calibri" w:cs="Arial"/>
          <w:sz w:val="22"/>
          <w:szCs w:val="22"/>
        </w:rPr>
        <w:br w:type="page"/>
      </w:r>
    </w:p>
    <w:p w:rsidR="000F1431" w:rsidRPr="00532F04" w:rsidRDefault="000F1431" w:rsidP="000F1431">
      <w:pPr>
        <w:rPr>
          <w:rFonts w:asciiTheme="minorHAnsi" w:hAnsiTheme="minorHAnsi"/>
          <w:b/>
          <w:sz w:val="22"/>
          <w:szCs w:val="22"/>
        </w:rPr>
      </w:pPr>
      <w:r w:rsidRPr="00532F04">
        <w:rPr>
          <w:rFonts w:asciiTheme="minorHAnsi" w:hAnsiTheme="minorHAnsi"/>
          <w:b/>
          <w:sz w:val="22"/>
          <w:szCs w:val="22"/>
        </w:rPr>
        <w:lastRenderedPageBreak/>
        <w:t xml:space="preserve">TLC masterclass 2 </w:t>
      </w:r>
    </w:p>
    <w:p w:rsidR="000F1431" w:rsidRPr="00532F04" w:rsidRDefault="000F1431" w:rsidP="000F1431">
      <w:pPr>
        <w:rPr>
          <w:rFonts w:asciiTheme="minorHAnsi" w:hAnsiTheme="minorHAnsi"/>
          <w:b/>
          <w:sz w:val="22"/>
          <w:szCs w:val="22"/>
        </w:rPr>
      </w:pPr>
      <w:r w:rsidRPr="00532F04">
        <w:rPr>
          <w:rFonts w:asciiTheme="minorHAnsi" w:hAnsiTheme="minorHAnsi"/>
          <w:b/>
          <w:sz w:val="22"/>
          <w:szCs w:val="22"/>
        </w:rPr>
        <w:t>Toetsen als een Aristoteles. Filosofisch oordelen voor beginners.</w:t>
      </w:r>
    </w:p>
    <w:p w:rsidR="000F1431" w:rsidRPr="00532F04" w:rsidRDefault="000F1431" w:rsidP="000F1431">
      <w:pPr>
        <w:rPr>
          <w:rFonts w:asciiTheme="minorHAnsi" w:hAnsiTheme="minorHAnsi"/>
          <w:sz w:val="22"/>
          <w:szCs w:val="22"/>
        </w:rPr>
      </w:pPr>
      <w:r w:rsidRPr="00532F04">
        <w:rPr>
          <w:rFonts w:asciiTheme="minorHAnsi" w:hAnsiTheme="minorHAnsi"/>
          <w:sz w:val="22"/>
          <w:szCs w:val="22"/>
        </w:rPr>
        <w:t> </w:t>
      </w:r>
    </w:p>
    <w:p w:rsidR="000F1431" w:rsidRPr="00532F04" w:rsidRDefault="000F1431" w:rsidP="000F1431">
      <w:pPr>
        <w:rPr>
          <w:rFonts w:asciiTheme="minorHAnsi" w:hAnsiTheme="minorHAnsi"/>
          <w:sz w:val="22"/>
          <w:szCs w:val="22"/>
        </w:rPr>
      </w:pPr>
      <w:r w:rsidRPr="00532F04">
        <w:rPr>
          <w:rFonts w:asciiTheme="minorHAnsi" w:hAnsiTheme="minorHAnsi"/>
          <w:b/>
          <w:sz w:val="22"/>
          <w:szCs w:val="22"/>
        </w:rPr>
        <w:t>Tijdsduur</w:t>
      </w:r>
      <w:r w:rsidRPr="00532F04">
        <w:rPr>
          <w:rFonts w:asciiTheme="minorHAnsi" w:hAnsiTheme="minorHAnsi"/>
          <w:sz w:val="22"/>
          <w:szCs w:val="22"/>
        </w:rPr>
        <w:t xml:space="preserve">: 90 minuten </w:t>
      </w:r>
    </w:p>
    <w:p w:rsidR="000F1431" w:rsidRPr="00532F04" w:rsidRDefault="000F1431" w:rsidP="000F1431">
      <w:pPr>
        <w:rPr>
          <w:rFonts w:asciiTheme="minorHAnsi" w:hAnsiTheme="minorHAnsi"/>
          <w:sz w:val="22"/>
          <w:szCs w:val="22"/>
        </w:rPr>
      </w:pPr>
    </w:p>
    <w:p w:rsidR="000F1431" w:rsidRPr="00532F04" w:rsidRDefault="000F1431" w:rsidP="000F1431">
      <w:pPr>
        <w:rPr>
          <w:rFonts w:asciiTheme="minorHAnsi" w:hAnsiTheme="minorHAnsi"/>
          <w:sz w:val="22"/>
          <w:szCs w:val="22"/>
        </w:rPr>
      </w:pPr>
      <w:r w:rsidRPr="00532F04">
        <w:rPr>
          <w:rFonts w:asciiTheme="minorHAnsi" w:hAnsiTheme="minorHAnsi"/>
          <w:sz w:val="22"/>
          <w:szCs w:val="22"/>
        </w:rPr>
        <w:t>Inhoud: </w:t>
      </w:r>
    </w:p>
    <w:p w:rsidR="000F1431" w:rsidRPr="00532F04" w:rsidRDefault="000F1431" w:rsidP="000F1431">
      <w:pPr>
        <w:rPr>
          <w:rFonts w:asciiTheme="minorHAnsi" w:hAnsiTheme="minorHAnsi"/>
          <w:sz w:val="22"/>
          <w:szCs w:val="22"/>
        </w:rPr>
      </w:pPr>
      <w:r w:rsidRPr="00532F04">
        <w:rPr>
          <w:rFonts w:asciiTheme="minorHAnsi" w:hAnsiTheme="minorHAnsi"/>
          <w:sz w:val="22"/>
          <w:szCs w:val="22"/>
        </w:rPr>
        <w:t>Een van je belangrijkste taken als docent is het geven van een kwaliteitsoordeel over de verrichtingen van je studenten of aios - of dat nu middels mondelinge feedback of schriftelijke feedback gebeurd. Dat beoordelen bestaat grofweg uit drie aspecten: observatie, het toepassen van een kwaliteitscriterium en de communicatie van het oordeel. Veel trainingen richten zich vooral op dit laatste onderdeel (‘hoe geef je veilig feedback?’); in deze workshop richten we ons op de tweede: wat is ‘kwaliteit’ eigenlijk, welke typen kwaliteitscriteria bestaan er en wat zijn de praktische consequenties voor het observeren en communiceren?</w:t>
      </w:r>
    </w:p>
    <w:p w:rsidR="000F1431" w:rsidRPr="00532F04" w:rsidRDefault="000F1431" w:rsidP="000F1431">
      <w:pPr>
        <w:rPr>
          <w:rFonts w:asciiTheme="minorHAnsi" w:hAnsiTheme="minorHAnsi"/>
          <w:sz w:val="22"/>
          <w:szCs w:val="22"/>
        </w:rPr>
      </w:pPr>
      <w:r w:rsidRPr="00532F04">
        <w:rPr>
          <w:rFonts w:asciiTheme="minorHAnsi" w:hAnsiTheme="minorHAnsi"/>
          <w:sz w:val="22"/>
          <w:szCs w:val="22"/>
        </w:rPr>
        <w:t> </w:t>
      </w:r>
    </w:p>
    <w:p w:rsidR="000F1431" w:rsidRPr="00532F04" w:rsidRDefault="000F1431" w:rsidP="000F1431">
      <w:pPr>
        <w:rPr>
          <w:rFonts w:asciiTheme="minorHAnsi" w:hAnsiTheme="minorHAnsi"/>
          <w:sz w:val="22"/>
          <w:szCs w:val="22"/>
        </w:rPr>
      </w:pPr>
      <w:r w:rsidRPr="00532F04">
        <w:rPr>
          <w:rFonts w:asciiTheme="minorHAnsi" w:hAnsiTheme="minorHAnsi"/>
          <w:sz w:val="22"/>
          <w:szCs w:val="22"/>
        </w:rPr>
        <w:t>De inhoud van de workshop baseer ik op twee basale ideeën van Plato en Aristoteles. Van Plato leen ik het idee dat kwaliteit drie dimensies heeft - en niet één, zoals vaak impliciet binnen het medisch onderwijs wordt gesuggereerd. Van Aristoteles heb ik geleerd dat competentieprofielen een teleologisch karakter hebben. Wat dat betekent, leg ik tijdens de workshop uit. Graag tot dan!</w:t>
      </w:r>
    </w:p>
    <w:p w:rsidR="000F1431" w:rsidRPr="00532F04" w:rsidRDefault="000F1431" w:rsidP="000F1431">
      <w:pPr>
        <w:rPr>
          <w:rFonts w:asciiTheme="minorHAnsi" w:hAnsiTheme="minorHAnsi"/>
          <w:sz w:val="22"/>
          <w:szCs w:val="22"/>
        </w:rPr>
      </w:pPr>
      <w:r w:rsidRPr="00532F04">
        <w:rPr>
          <w:rFonts w:asciiTheme="minorHAnsi" w:hAnsiTheme="minorHAnsi"/>
          <w:sz w:val="22"/>
          <w:szCs w:val="22"/>
        </w:rPr>
        <w:t> </w:t>
      </w:r>
    </w:p>
    <w:p w:rsidR="000F1431" w:rsidRPr="00532F04" w:rsidRDefault="000F1431" w:rsidP="000F1431">
      <w:pPr>
        <w:rPr>
          <w:rFonts w:ascii="Calibri" w:hAnsi="Calibri" w:cs="Arial"/>
          <w:b/>
          <w:sz w:val="22"/>
          <w:szCs w:val="22"/>
        </w:rPr>
      </w:pPr>
      <w:r w:rsidRPr="00532F04">
        <w:rPr>
          <w:rFonts w:ascii="Calibri" w:hAnsi="Calibri" w:cs="Arial"/>
          <w:b/>
          <w:sz w:val="22"/>
          <w:szCs w:val="22"/>
        </w:rPr>
        <w:t>Leeropbrengsten:</w:t>
      </w:r>
    </w:p>
    <w:p w:rsidR="000F1431" w:rsidRPr="00532F04" w:rsidRDefault="000F1431" w:rsidP="000F1431">
      <w:pPr>
        <w:pStyle w:val="Lijstalinea"/>
        <w:numPr>
          <w:ilvl w:val="0"/>
          <w:numId w:val="37"/>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kijken kritisch naar hun eigen rol bij de individuele begeleiding van medewerkers in opleiding en naar de kwaliteit van hun feedback. </w:t>
      </w:r>
    </w:p>
    <w:p w:rsidR="000F1431" w:rsidRPr="00532F04" w:rsidRDefault="000F1431" w:rsidP="000F1431">
      <w:pPr>
        <w:pStyle w:val="Lijstalinea"/>
        <w:numPr>
          <w:ilvl w:val="0"/>
          <w:numId w:val="37"/>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kunnen uitleggen welke ideeen van Plato en Aristoteles nu nog steeds toegepast kunnen worden in feedbacksituaties in het onderwijs.  </w:t>
      </w:r>
    </w:p>
    <w:p w:rsidR="000F1431" w:rsidRPr="00532F04" w:rsidRDefault="000F1431" w:rsidP="000F1431">
      <w:pPr>
        <w:rPr>
          <w:rFonts w:ascii="Calibri" w:hAnsi="Calibri" w:cs="Arial"/>
          <w:b/>
          <w:sz w:val="22"/>
          <w:szCs w:val="22"/>
        </w:rPr>
      </w:pPr>
      <w:r w:rsidRPr="00532F04">
        <w:rPr>
          <w:rFonts w:ascii="Calibri" w:hAnsi="Calibri" w:cs="Arial"/>
          <w:b/>
          <w:sz w:val="22"/>
          <w:szCs w:val="22"/>
        </w:rPr>
        <w:t>Technologie:</w:t>
      </w:r>
    </w:p>
    <w:p w:rsidR="000F1431" w:rsidRPr="00532F04" w:rsidRDefault="000F1431" w:rsidP="000F1431">
      <w:pPr>
        <w:pStyle w:val="Lijstalinea"/>
        <w:numPr>
          <w:ilvl w:val="0"/>
          <w:numId w:val="38"/>
        </w:numPr>
        <w:spacing w:after="200" w:line="276" w:lineRule="auto"/>
        <w:contextualSpacing/>
        <w:rPr>
          <w:rFonts w:ascii="Calibri" w:hAnsi="Calibri" w:cs="Arial"/>
          <w:sz w:val="22"/>
          <w:szCs w:val="22"/>
        </w:rPr>
      </w:pPr>
      <w:r w:rsidRPr="00532F04">
        <w:rPr>
          <w:rFonts w:ascii="Calibri" w:hAnsi="Calibri" w:cs="Arial"/>
          <w:sz w:val="22"/>
          <w:szCs w:val="22"/>
        </w:rPr>
        <w:t xml:space="preserve">Masterclass verloopt via Zoom. </w:t>
      </w:r>
    </w:p>
    <w:p w:rsidR="000F1431" w:rsidRPr="00532F04" w:rsidRDefault="000F1431" w:rsidP="000F1431">
      <w:pPr>
        <w:pStyle w:val="Lijstalinea"/>
        <w:numPr>
          <w:ilvl w:val="0"/>
          <w:numId w:val="38"/>
        </w:numPr>
        <w:spacing w:after="200" w:line="276" w:lineRule="auto"/>
        <w:contextualSpacing/>
        <w:rPr>
          <w:rFonts w:ascii="Calibri" w:hAnsi="Calibri" w:cs="Arial"/>
          <w:sz w:val="22"/>
          <w:szCs w:val="22"/>
        </w:rPr>
      </w:pPr>
      <w:r w:rsidRPr="00532F04">
        <w:rPr>
          <w:rFonts w:ascii="Calibri" w:hAnsi="Calibri" w:cs="Arial"/>
          <w:sz w:val="22"/>
          <w:szCs w:val="22"/>
        </w:rPr>
        <w:t>Moderator: Karline Timmermans</w:t>
      </w:r>
    </w:p>
    <w:p w:rsidR="000F1431" w:rsidRPr="00532F04" w:rsidRDefault="000F1431" w:rsidP="000F1431">
      <w:pPr>
        <w:pStyle w:val="Lijstalinea"/>
        <w:numPr>
          <w:ilvl w:val="0"/>
          <w:numId w:val="38"/>
        </w:numPr>
        <w:spacing w:after="200" w:line="276" w:lineRule="auto"/>
        <w:contextualSpacing/>
        <w:rPr>
          <w:rFonts w:ascii="Calibri" w:hAnsi="Calibri" w:cs="Arial"/>
          <w:sz w:val="22"/>
          <w:szCs w:val="22"/>
        </w:rPr>
      </w:pPr>
      <w:r w:rsidRPr="00532F04">
        <w:rPr>
          <w:rFonts w:ascii="Calibri" w:hAnsi="Calibri" w:cs="Arial"/>
          <w:sz w:val="22"/>
          <w:szCs w:val="22"/>
        </w:rPr>
        <w:t>Presentator / ‘dagvoorzitter’: Tobias Boerboom</w:t>
      </w:r>
    </w:p>
    <w:p w:rsidR="000F1431" w:rsidRPr="00532F04" w:rsidRDefault="000F1431" w:rsidP="000F1431">
      <w:pPr>
        <w:rPr>
          <w:rFonts w:ascii="Calibri" w:hAnsi="Calibri" w:cs="Arial"/>
          <w:b/>
          <w:sz w:val="22"/>
          <w:szCs w:val="22"/>
        </w:rPr>
      </w:pPr>
      <w:r w:rsidRPr="00532F04">
        <w:rPr>
          <w:rFonts w:ascii="Calibri" w:hAnsi="Calibri" w:cs="Arial"/>
          <w:b/>
          <w:sz w:val="22"/>
          <w:szCs w:val="22"/>
        </w:rPr>
        <w:t xml:space="preserve">Programma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703"/>
      </w:tblGrid>
      <w:tr w:rsidR="000F1431" w:rsidRPr="00532F04" w:rsidTr="00035183">
        <w:tc>
          <w:tcPr>
            <w:tcW w:w="1369" w:type="dxa"/>
            <w:shd w:val="clear" w:color="auto" w:fill="auto"/>
          </w:tcPr>
          <w:p w:rsidR="000F1431" w:rsidRPr="00532F04" w:rsidRDefault="000F1431" w:rsidP="00035183">
            <w:pPr>
              <w:rPr>
                <w:rFonts w:ascii="Calibri" w:hAnsi="Calibri" w:cs="Arial"/>
                <w:sz w:val="22"/>
                <w:szCs w:val="22"/>
              </w:rPr>
            </w:pPr>
            <w:r w:rsidRPr="00532F04">
              <w:rPr>
                <w:rFonts w:ascii="Calibri" w:hAnsi="Calibri" w:cs="Arial"/>
                <w:sz w:val="22"/>
                <w:szCs w:val="22"/>
              </w:rPr>
              <w:t>0.00-0.05</w:t>
            </w:r>
          </w:p>
        </w:tc>
        <w:tc>
          <w:tcPr>
            <w:tcW w:w="7703" w:type="dxa"/>
            <w:shd w:val="clear" w:color="auto" w:fill="auto"/>
          </w:tcPr>
          <w:p w:rsidR="000F1431" w:rsidRPr="00532F04" w:rsidRDefault="000F1431" w:rsidP="00035183">
            <w:pPr>
              <w:rPr>
                <w:rFonts w:ascii="Calibri" w:hAnsi="Calibri" w:cs="Arial"/>
                <w:sz w:val="22"/>
                <w:szCs w:val="22"/>
              </w:rPr>
            </w:pPr>
            <w:r w:rsidRPr="00532F04">
              <w:rPr>
                <w:rFonts w:ascii="Calibri" w:hAnsi="Calibri" w:cs="Arial"/>
                <w:sz w:val="22"/>
                <w:szCs w:val="22"/>
              </w:rPr>
              <w:t>Ontvangst en voorstellen</w:t>
            </w:r>
          </w:p>
        </w:tc>
      </w:tr>
      <w:tr w:rsidR="000F1431" w:rsidRPr="00532F04" w:rsidTr="00035183">
        <w:tc>
          <w:tcPr>
            <w:tcW w:w="1369" w:type="dxa"/>
            <w:shd w:val="clear" w:color="auto" w:fill="auto"/>
          </w:tcPr>
          <w:p w:rsidR="000F1431" w:rsidRPr="00532F04" w:rsidRDefault="000F1431" w:rsidP="000F1431">
            <w:pPr>
              <w:rPr>
                <w:rFonts w:ascii="Calibri" w:hAnsi="Calibri" w:cs="Arial"/>
                <w:sz w:val="22"/>
                <w:szCs w:val="22"/>
              </w:rPr>
            </w:pPr>
            <w:r w:rsidRPr="00532F04">
              <w:rPr>
                <w:rFonts w:ascii="Calibri" w:hAnsi="Calibri" w:cs="Arial"/>
                <w:sz w:val="22"/>
                <w:szCs w:val="22"/>
              </w:rPr>
              <w:t>0.05-1.00</w:t>
            </w:r>
          </w:p>
        </w:tc>
        <w:tc>
          <w:tcPr>
            <w:tcW w:w="7703" w:type="dxa"/>
            <w:shd w:val="clear" w:color="auto" w:fill="auto"/>
          </w:tcPr>
          <w:p w:rsidR="000F1431" w:rsidRPr="00532F04" w:rsidRDefault="000F1431" w:rsidP="000F1431">
            <w:pPr>
              <w:rPr>
                <w:rFonts w:ascii="Calibri" w:hAnsi="Calibri" w:cs="Arial"/>
                <w:sz w:val="22"/>
                <w:szCs w:val="22"/>
              </w:rPr>
            </w:pPr>
            <w:r w:rsidRPr="00532F04">
              <w:rPr>
                <w:rFonts w:ascii="Calibri" w:hAnsi="Calibri" w:cs="Arial"/>
                <w:sz w:val="22"/>
                <w:szCs w:val="22"/>
              </w:rPr>
              <w:t>Menno de Bree* Interactieve presentatie waarbij deelnemers op verschillende momenten om input en feedback wordt gevraagd.</w:t>
            </w:r>
          </w:p>
        </w:tc>
      </w:tr>
      <w:tr w:rsidR="000F1431" w:rsidRPr="00532F04" w:rsidTr="00035183">
        <w:tc>
          <w:tcPr>
            <w:tcW w:w="1369" w:type="dxa"/>
            <w:shd w:val="clear" w:color="auto" w:fill="auto"/>
          </w:tcPr>
          <w:p w:rsidR="000F1431" w:rsidRPr="00532F04" w:rsidRDefault="000F1431" w:rsidP="000F1431">
            <w:pPr>
              <w:rPr>
                <w:rFonts w:ascii="Calibri" w:hAnsi="Calibri" w:cs="Arial"/>
                <w:sz w:val="22"/>
                <w:szCs w:val="22"/>
              </w:rPr>
            </w:pPr>
            <w:r w:rsidRPr="00532F04">
              <w:rPr>
                <w:rFonts w:ascii="Calibri" w:hAnsi="Calibri" w:cs="Arial"/>
                <w:sz w:val="22"/>
                <w:szCs w:val="22"/>
              </w:rPr>
              <w:t>1.00-1.25</w:t>
            </w:r>
          </w:p>
        </w:tc>
        <w:tc>
          <w:tcPr>
            <w:tcW w:w="7703" w:type="dxa"/>
            <w:shd w:val="clear" w:color="auto" w:fill="auto"/>
          </w:tcPr>
          <w:p w:rsidR="000F1431" w:rsidRPr="00532F04" w:rsidRDefault="000F1431" w:rsidP="00035183">
            <w:pPr>
              <w:rPr>
                <w:rFonts w:ascii="Calibri" w:hAnsi="Calibri" w:cs="Arial"/>
                <w:sz w:val="22"/>
                <w:szCs w:val="22"/>
              </w:rPr>
            </w:pPr>
            <w:r w:rsidRPr="00532F04">
              <w:rPr>
                <w:rFonts w:ascii="Calibri" w:hAnsi="Calibri" w:cs="Arial"/>
                <w:sz w:val="22"/>
                <w:szCs w:val="22"/>
              </w:rPr>
              <w:t xml:space="preserve">Discussie tussen deelnemers en Menno de Bree onder leiding van Tobias Boerboom over de implicaties van zijn theorieen voor het in de praktijk brengen van het geven van kwalitatief goede feedback.  </w:t>
            </w:r>
          </w:p>
        </w:tc>
      </w:tr>
      <w:tr w:rsidR="000F1431" w:rsidRPr="00532F04" w:rsidTr="00035183">
        <w:tc>
          <w:tcPr>
            <w:tcW w:w="1369" w:type="dxa"/>
            <w:shd w:val="clear" w:color="auto" w:fill="auto"/>
          </w:tcPr>
          <w:p w:rsidR="000F1431" w:rsidRPr="00532F04" w:rsidRDefault="000F1431" w:rsidP="00035183">
            <w:pPr>
              <w:rPr>
                <w:rFonts w:ascii="Calibri" w:hAnsi="Calibri" w:cs="Arial"/>
                <w:sz w:val="22"/>
                <w:szCs w:val="22"/>
              </w:rPr>
            </w:pPr>
            <w:r w:rsidRPr="00532F04">
              <w:rPr>
                <w:rFonts w:ascii="Calibri" w:hAnsi="Calibri" w:cs="Arial"/>
                <w:sz w:val="22"/>
                <w:szCs w:val="22"/>
              </w:rPr>
              <w:t xml:space="preserve">1.25-1.30 </w:t>
            </w:r>
          </w:p>
        </w:tc>
        <w:tc>
          <w:tcPr>
            <w:tcW w:w="7703" w:type="dxa"/>
            <w:shd w:val="clear" w:color="auto" w:fill="auto"/>
          </w:tcPr>
          <w:p w:rsidR="000F1431" w:rsidRPr="00532F04" w:rsidRDefault="000F1431" w:rsidP="00035183">
            <w:pPr>
              <w:rPr>
                <w:rFonts w:ascii="Calibri" w:hAnsi="Calibri" w:cs="Arial"/>
                <w:sz w:val="22"/>
                <w:szCs w:val="22"/>
              </w:rPr>
            </w:pPr>
            <w:r w:rsidRPr="00532F04">
              <w:rPr>
                <w:rFonts w:ascii="Calibri" w:hAnsi="Calibri" w:cs="Arial"/>
                <w:sz w:val="22"/>
                <w:szCs w:val="22"/>
              </w:rPr>
              <w:t>Afsluiting</w:t>
            </w:r>
          </w:p>
        </w:tc>
      </w:tr>
      <w:tr w:rsidR="000F1431" w:rsidRPr="00532F04" w:rsidTr="00035183">
        <w:tc>
          <w:tcPr>
            <w:tcW w:w="1369" w:type="dxa"/>
            <w:shd w:val="clear" w:color="auto" w:fill="auto"/>
          </w:tcPr>
          <w:p w:rsidR="000F1431" w:rsidRPr="00532F04" w:rsidRDefault="000F1431" w:rsidP="00035183">
            <w:pPr>
              <w:rPr>
                <w:rFonts w:ascii="Calibri" w:hAnsi="Calibri" w:cs="Arial"/>
                <w:sz w:val="22"/>
                <w:szCs w:val="22"/>
              </w:rPr>
            </w:pPr>
          </w:p>
        </w:tc>
        <w:tc>
          <w:tcPr>
            <w:tcW w:w="7703" w:type="dxa"/>
            <w:shd w:val="clear" w:color="auto" w:fill="auto"/>
          </w:tcPr>
          <w:p w:rsidR="000F1431" w:rsidRPr="00532F04" w:rsidRDefault="000F1431" w:rsidP="00035183">
            <w:pPr>
              <w:rPr>
                <w:rFonts w:ascii="Calibri" w:hAnsi="Calibri" w:cs="Arial"/>
                <w:sz w:val="22"/>
                <w:szCs w:val="22"/>
              </w:rPr>
            </w:pPr>
          </w:p>
        </w:tc>
      </w:tr>
    </w:tbl>
    <w:p w:rsidR="000F1431" w:rsidRPr="00532F04" w:rsidRDefault="000F1431" w:rsidP="000F1431">
      <w:pPr>
        <w:rPr>
          <w:rFonts w:ascii="Calibri" w:hAnsi="Calibri" w:cs="Arial"/>
          <w:sz w:val="22"/>
          <w:szCs w:val="22"/>
        </w:rPr>
      </w:pPr>
    </w:p>
    <w:p w:rsidR="000F1431" w:rsidRPr="00532F04" w:rsidRDefault="000F1431" w:rsidP="000F1431">
      <w:pPr>
        <w:rPr>
          <w:sz w:val="22"/>
          <w:szCs w:val="22"/>
        </w:rPr>
      </w:pPr>
      <w:r w:rsidRPr="00532F04">
        <w:rPr>
          <w:sz w:val="22"/>
          <w:szCs w:val="22"/>
        </w:rPr>
        <w:t>* CV</w:t>
      </w:r>
    </w:p>
    <w:p w:rsidR="000F1431" w:rsidRPr="00532F04" w:rsidRDefault="000F1431" w:rsidP="000F1431">
      <w:pPr>
        <w:rPr>
          <w:sz w:val="22"/>
          <w:szCs w:val="22"/>
        </w:rPr>
      </w:pPr>
      <w:r w:rsidRPr="00532F04">
        <w:rPr>
          <w:rFonts w:ascii="Helvetica Neue" w:hAnsi="Helvetica Neue"/>
          <w:sz w:val="22"/>
          <w:szCs w:val="22"/>
        </w:rPr>
        <w:t>Menno de Bree (1974) studeerde filosofie en werkte als bedrijfsethicus bij Heineken en Nyenrode. Sinds 2003 doceert hij ethiek en filosofie aan het Universitair Medisch Centrum Groningen. Voor zijn onderwijs ontving hij meerdere studentenprijzen. Daarnaast verzorgt De Bree denktrainingen en filosofieworkshops voor professionals (o.a. voor Brainfeed) en is hij actief als publieksfilosoof (o.a. voor The School of Life). Met Eite Veening schreef hij het veelgebruikte</w:t>
      </w:r>
      <w:r w:rsidRPr="00532F04">
        <w:rPr>
          <w:rStyle w:val="apple-converted-space"/>
          <w:rFonts w:ascii="Helvetica Neue" w:hAnsi="Helvetica Neue"/>
          <w:sz w:val="22"/>
          <w:szCs w:val="22"/>
        </w:rPr>
        <w:t> </w:t>
      </w:r>
      <w:r w:rsidRPr="00532F04">
        <w:rPr>
          <w:rFonts w:ascii="Helvetica Neue" w:hAnsi="Helvetica Neue"/>
          <w:i/>
          <w:iCs/>
          <w:sz w:val="22"/>
          <w:szCs w:val="22"/>
        </w:rPr>
        <w:t>Handleiding moreel beraad. Praktische gids voor zorgprofessionals</w:t>
      </w:r>
      <w:r w:rsidRPr="00532F04">
        <w:rPr>
          <w:rFonts w:ascii="Helvetica Neue" w:hAnsi="Helvetica Neue"/>
          <w:sz w:val="22"/>
          <w:szCs w:val="22"/>
        </w:rPr>
        <w:t>.  Op internet zijn zijn talks voor Brainwash en TEDx te vinden. Elke zaterdag verschijnt er een column van zijn hand in het Financieele Dagblad. In 2018 verscheen daarvan de eerste bundeling:</w:t>
      </w:r>
      <w:r w:rsidRPr="00532F04">
        <w:rPr>
          <w:rStyle w:val="apple-converted-space"/>
          <w:rFonts w:ascii="Helvetica Neue" w:hAnsi="Helvetica Neue"/>
          <w:sz w:val="22"/>
          <w:szCs w:val="22"/>
        </w:rPr>
        <w:t> </w:t>
      </w:r>
      <w:r w:rsidRPr="00532F04">
        <w:rPr>
          <w:rFonts w:ascii="Helvetica Neue" w:hAnsi="Helvetica Neue"/>
          <w:i/>
          <w:iCs/>
          <w:sz w:val="22"/>
          <w:szCs w:val="22"/>
        </w:rPr>
        <w:t>Het eeuwig tekort. Over werk, liefde, geluk en ander ongemak</w:t>
      </w:r>
      <w:r w:rsidRPr="00532F04">
        <w:rPr>
          <w:rFonts w:ascii="Helvetica Neue" w:hAnsi="Helvetica Neue"/>
          <w:sz w:val="22"/>
          <w:szCs w:val="22"/>
        </w:rPr>
        <w:t>.</w:t>
      </w:r>
    </w:p>
    <w:p w:rsidR="00205466" w:rsidRPr="00532F04" w:rsidRDefault="00205466" w:rsidP="000F1431">
      <w:pPr>
        <w:rPr>
          <w:rFonts w:asciiTheme="minorHAnsi" w:hAnsiTheme="minorHAnsi" w:cs="Arial"/>
          <w:sz w:val="22"/>
          <w:szCs w:val="22"/>
        </w:rPr>
      </w:pPr>
    </w:p>
    <w:p w:rsidR="000F1431" w:rsidRPr="00532F04" w:rsidRDefault="000F1431">
      <w:pPr>
        <w:rPr>
          <w:rFonts w:asciiTheme="minorHAnsi" w:hAnsiTheme="minorHAnsi" w:cs="Arial"/>
          <w:sz w:val="22"/>
          <w:szCs w:val="22"/>
        </w:rPr>
      </w:pPr>
      <w:r w:rsidRPr="00532F04">
        <w:rPr>
          <w:rFonts w:asciiTheme="minorHAnsi" w:hAnsiTheme="minorHAnsi" w:cs="Arial"/>
          <w:sz w:val="22"/>
          <w:szCs w:val="22"/>
        </w:rPr>
        <w:br w:type="page"/>
      </w:r>
    </w:p>
    <w:p w:rsidR="000F1431" w:rsidRPr="00532F04" w:rsidRDefault="000F1431" w:rsidP="000F1431">
      <w:pPr>
        <w:rPr>
          <w:rFonts w:asciiTheme="minorHAnsi" w:hAnsiTheme="minorHAnsi" w:cs="Arial"/>
          <w:sz w:val="22"/>
          <w:szCs w:val="22"/>
        </w:rPr>
      </w:pPr>
      <w:r w:rsidRPr="00532F04">
        <w:rPr>
          <w:rFonts w:asciiTheme="minorHAnsi" w:hAnsiTheme="minorHAnsi" w:cs="Arial"/>
          <w:b/>
          <w:sz w:val="22"/>
          <w:szCs w:val="22"/>
        </w:rPr>
        <w:lastRenderedPageBreak/>
        <w:t>TLC Masterclass 3</w:t>
      </w:r>
    </w:p>
    <w:p w:rsidR="000F1431" w:rsidRPr="00532F04" w:rsidRDefault="000F1431" w:rsidP="000F1431">
      <w:pPr>
        <w:rPr>
          <w:rFonts w:asciiTheme="minorHAnsi" w:hAnsiTheme="minorHAnsi"/>
          <w:b/>
          <w:sz w:val="22"/>
          <w:szCs w:val="22"/>
        </w:rPr>
      </w:pPr>
      <w:r w:rsidRPr="00532F04">
        <w:rPr>
          <w:rFonts w:asciiTheme="minorHAnsi" w:hAnsiTheme="minorHAnsi"/>
          <w:b/>
          <w:sz w:val="22"/>
          <w:szCs w:val="22"/>
        </w:rPr>
        <w:t xml:space="preserve">Internationalisering@home: Mogelijkheden om internationalisering in te passen in jouw onderwijs. </w:t>
      </w:r>
    </w:p>
    <w:p w:rsidR="000F1431" w:rsidRPr="00532F04" w:rsidRDefault="000F1431" w:rsidP="000F1431">
      <w:pPr>
        <w:rPr>
          <w:rFonts w:asciiTheme="minorHAnsi" w:hAnsiTheme="minorHAnsi"/>
          <w:sz w:val="22"/>
          <w:szCs w:val="22"/>
        </w:rPr>
      </w:pPr>
    </w:p>
    <w:p w:rsidR="000F1431" w:rsidRPr="00532F04" w:rsidRDefault="000F1431" w:rsidP="000F1431">
      <w:pPr>
        <w:rPr>
          <w:rFonts w:asciiTheme="minorHAnsi" w:hAnsiTheme="minorHAnsi"/>
          <w:sz w:val="22"/>
          <w:szCs w:val="22"/>
        </w:rPr>
      </w:pPr>
      <w:r w:rsidRPr="00532F04">
        <w:rPr>
          <w:rFonts w:asciiTheme="minorHAnsi" w:hAnsiTheme="minorHAnsi"/>
          <w:b/>
          <w:sz w:val="22"/>
          <w:szCs w:val="22"/>
        </w:rPr>
        <w:t>Tijdsduur:</w:t>
      </w:r>
      <w:r w:rsidRPr="00532F04">
        <w:rPr>
          <w:rFonts w:asciiTheme="minorHAnsi" w:hAnsiTheme="minorHAnsi"/>
          <w:sz w:val="22"/>
          <w:szCs w:val="22"/>
        </w:rPr>
        <w:t xml:space="preserve"> 1,5 uur</w:t>
      </w:r>
    </w:p>
    <w:p w:rsidR="000F1431" w:rsidRPr="00532F04" w:rsidRDefault="000F1431" w:rsidP="000F1431">
      <w:pPr>
        <w:rPr>
          <w:rFonts w:asciiTheme="minorHAnsi" w:hAnsiTheme="minorHAnsi"/>
          <w:sz w:val="22"/>
          <w:szCs w:val="22"/>
        </w:rPr>
      </w:pPr>
    </w:p>
    <w:p w:rsidR="00362544" w:rsidRPr="00532F04" w:rsidRDefault="00362544" w:rsidP="00362544">
      <w:pPr>
        <w:autoSpaceDE w:val="0"/>
        <w:autoSpaceDN w:val="0"/>
        <w:adjustRightInd w:val="0"/>
        <w:rPr>
          <w:rFonts w:ascii="Calibri" w:hAnsi="Calibri" w:cs="Calibri"/>
          <w:color w:val="000000"/>
          <w:sz w:val="22"/>
          <w:szCs w:val="22"/>
        </w:rPr>
      </w:pPr>
      <w:r w:rsidRPr="00532F04">
        <w:rPr>
          <w:rFonts w:ascii="Calibri" w:hAnsi="Calibri" w:cs="Calibri"/>
          <w:color w:val="000000"/>
          <w:sz w:val="22"/>
          <w:szCs w:val="22"/>
        </w:rPr>
        <w:t xml:space="preserve">In het meerjarenplan van de faculteit Geneeskunde is Internationalisering een speerpunt voor de komende jaren. Hierbij kan je onderscheid maken tussen externe mobiliteit (studenten doen een co-schap in het buitenland of doen onderzoek in het buitenland) en interne mobiliteit (op welke manier kan je de wereld in je curriculum brengen zonder mobiliteit). </w:t>
      </w:r>
    </w:p>
    <w:p w:rsidR="00362544" w:rsidRPr="00532F04" w:rsidRDefault="00362544" w:rsidP="00362544">
      <w:pPr>
        <w:autoSpaceDE w:val="0"/>
        <w:autoSpaceDN w:val="0"/>
        <w:adjustRightInd w:val="0"/>
        <w:rPr>
          <w:rFonts w:ascii="Calibri" w:hAnsi="Calibri" w:cs="Calibri"/>
          <w:color w:val="000000"/>
          <w:sz w:val="22"/>
          <w:szCs w:val="22"/>
        </w:rPr>
      </w:pPr>
      <w:r w:rsidRPr="00532F04">
        <w:rPr>
          <w:rFonts w:ascii="Calibri" w:hAnsi="Calibri" w:cs="Calibri"/>
          <w:color w:val="000000"/>
          <w:sz w:val="22"/>
          <w:szCs w:val="22"/>
        </w:rPr>
        <w:t xml:space="preserve">Juist in deze periode is het goed om ook te bekijken wat de mogelijkheden zijn van Internationalisering@Home. Wat zijn de mogelijkheden om dit in je eigen onderwijs in te brengen en wat is de meerwaarde hiervan? </w:t>
      </w:r>
    </w:p>
    <w:p w:rsidR="00362544" w:rsidRPr="00532F04" w:rsidRDefault="00362544" w:rsidP="00362544">
      <w:pPr>
        <w:autoSpaceDE w:val="0"/>
        <w:autoSpaceDN w:val="0"/>
        <w:adjustRightInd w:val="0"/>
        <w:rPr>
          <w:rFonts w:ascii="Calibri" w:hAnsi="Calibri" w:cs="Calibri"/>
          <w:color w:val="000000"/>
          <w:sz w:val="22"/>
          <w:szCs w:val="22"/>
        </w:rPr>
      </w:pPr>
    </w:p>
    <w:p w:rsidR="00362544" w:rsidRPr="00532F04" w:rsidRDefault="00362544" w:rsidP="00362544">
      <w:pPr>
        <w:autoSpaceDE w:val="0"/>
        <w:autoSpaceDN w:val="0"/>
        <w:adjustRightInd w:val="0"/>
        <w:rPr>
          <w:rFonts w:ascii="Calibri" w:hAnsi="Calibri" w:cs="Calibri"/>
          <w:color w:val="000000"/>
          <w:sz w:val="22"/>
          <w:szCs w:val="22"/>
        </w:rPr>
      </w:pPr>
      <w:r w:rsidRPr="00532F04">
        <w:rPr>
          <w:rFonts w:ascii="Calibri" w:hAnsi="Calibri" w:cs="Calibri"/>
          <w:color w:val="000000"/>
          <w:sz w:val="22"/>
          <w:szCs w:val="22"/>
        </w:rPr>
        <w:t xml:space="preserve">Dat komt aan bod tijdens deze Masterclass. Experts ni het AMC en daarbuiten delen hun ervaringen van internationalisering @ Home zodat je met concrete ideeen je eigen onderwijs kan verrijken met buitenlandse inbreng. </w:t>
      </w:r>
    </w:p>
    <w:p w:rsidR="00362544" w:rsidRPr="00532F04" w:rsidRDefault="00362544" w:rsidP="00362544">
      <w:pPr>
        <w:autoSpaceDE w:val="0"/>
        <w:autoSpaceDN w:val="0"/>
        <w:adjustRightInd w:val="0"/>
        <w:rPr>
          <w:rFonts w:ascii="Calibri" w:hAnsi="Calibri" w:cs="Calibri"/>
          <w:color w:val="000000"/>
          <w:sz w:val="22"/>
          <w:szCs w:val="22"/>
        </w:rPr>
      </w:pPr>
    </w:p>
    <w:p w:rsidR="000F1431" w:rsidRPr="00532F04" w:rsidRDefault="000F1431" w:rsidP="000F1431">
      <w:pPr>
        <w:rPr>
          <w:rFonts w:asciiTheme="minorHAnsi" w:hAnsiTheme="minorHAnsi"/>
          <w:sz w:val="22"/>
          <w:szCs w:val="22"/>
        </w:rPr>
      </w:pPr>
    </w:p>
    <w:p w:rsidR="000F1431" w:rsidRPr="00532F04" w:rsidRDefault="000F1431" w:rsidP="000F1431">
      <w:pPr>
        <w:spacing w:after="200" w:line="276" w:lineRule="auto"/>
        <w:rPr>
          <w:rFonts w:asciiTheme="minorHAnsi" w:hAnsiTheme="minorHAnsi" w:cstheme="minorBidi"/>
          <w:b/>
          <w:sz w:val="22"/>
          <w:szCs w:val="22"/>
          <w:lang w:eastAsia="en-US"/>
        </w:rPr>
      </w:pPr>
      <w:r w:rsidRPr="00532F04">
        <w:rPr>
          <w:rFonts w:asciiTheme="minorHAnsi" w:hAnsiTheme="minorHAnsi" w:cstheme="minorBidi"/>
          <w:b/>
          <w:sz w:val="22"/>
          <w:szCs w:val="22"/>
          <w:lang w:eastAsia="en-US"/>
        </w:rPr>
        <w:t>Leeropbrengsten:</w:t>
      </w:r>
    </w:p>
    <w:p w:rsidR="000F1431" w:rsidRPr="00532F04" w:rsidRDefault="000F1431" w:rsidP="000F1431">
      <w:pPr>
        <w:numPr>
          <w:ilvl w:val="0"/>
          <w:numId w:val="37"/>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Deelnemers kunnen </w:t>
      </w:r>
      <w:r w:rsidR="00362544" w:rsidRPr="00532F04">
        <w:rPr>
          <w:rFonts w:asciiTheme="minorHAnsi" w:hAnsiTheme="minorHAnsi" w:cstheme="minorBidi"/>
          <w:sz w:val="22"/>
          <w:szCs w:val="22"/>
          <w:lang w:eastAsia="en-US"/>
        </w:rPr>
        <w:t>op basis van de concrete voorbeelden internationalisering @ Home inpassen in hun eigen onderwijs.</w:t>
      </w:r>
    </w:p>
    <w:p w:rsidR="000F1431" w:rsidRPr="00532F04" w:rsidRDefault="000F1431" w:rsidP="000F1431">
      <w:pPr>
        <w:numPr>
          <w:ilvl w:val="0"/>
          <w:numId w:val="37"/>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Deelnemers kunnen </w:t>
      </w:r>
      <w:r w:rsidR="00362544" w:rsidRPr="00532F04">
        <w:rPr>
          <w:rFonts w:asciiTheme="minorHAnsi" w:hAnsiTheme="minorHAnsi" w:cstheme="minorBidi"/>
          <w:sz w:val="22"/>
          <w:szCs w:val="22"/>
          <w:lang w:eastAsia="en-US"/>
        </w:rPr>
        <w:t xml:space="preserve">benoemen wat internationalisering @ hem voor studenten brengt en welke belemmeringen er  kunnen zijn. </w:t>
      </w:r>
    </w:p>
    <w:p w:rsidR="000F1431" w:rsidRPr="00532F04" w:rsidRDefault="000F1431" w:rsidP="000F1431">
      <w:pPr>
        <w:spacing w:after="200" w:line="276" w:lineRule="auto"/>
        <w:contextualSpacing/>
        <w:rPr>
          <w:rFonts w:asciiTheme="minorHAnsi" w:hAnsiTheme="minorHAnsi" w:cstheme="minorBidi"/>
          <w:sz w:val="22"/>
          <w:szCs w:val="22"/>
          <w:lang w:eastAsia="en-US"/>
        </w:rPr>
      </w:pPr>
    </w:p>
    <w:p w:rsidR="000F1431" w:rsidRPr="00532F04" w:rsidRDefault="000F1431" w:rsidP="000F1431">
      <w:pPr>
        <w:spacing w:after="200" w:line="276" w:lineRule="auto"/>
        <w:rPr>
          <w:rFonts w:asciiTheme="minorHAnsi" w:hAnsiTheme="minorHAnsi" w:cstheme="minorBidi"/>
          <w:b/>
          <w:sz w:val="22"/>
          <w:szCs w:val="22"/>
          <w:lang w:eastAsia="en-US"/>
        </w:rPr>
      </w:pPr>
      <w:r w:rsidRPr="00532F04">
        <w:rPr>
          <w:rFonts w:asciiTheme="minorHAnsi" w:hAnsiTheme="minorHAnsi" w:cstheme="minorBidi"/>
          <w:b/>
          <w:sz w:val="22"/>
          <w:szCs w:val="22"/>
          <w:lang w:eastAsia="en-US"/>
        </w:rPr>
        <w:t>Technologie / rolverdeling:</w:t>
      </w:r>
    </w:p>
    <w:p w:rsidR="000F1431" w:rsidRPr="00532F04" w:rsidRDefault="000F1431" w:rsidP="000F1431">
      <w:pPr>
        <w:numPr>
          <w:ilvl w:val="0"/>
          <w:numId w:val="38"/>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Masterclass verloopt via Zoom. </w:t>
      </w:r>
    </w:p>
    <w:p w:rsidR="000F1431" w:rsidRPr="00532F04" w:rsidRDefault="000F1431" w:rsidP="000F1431">
      <w:pPr>
        <w:numPr>
          <w:ilvl w:val="0"/>
          <w:numId w:val="38"/>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Moderator: </w:t>
      </w:r>
      <w:r w:rsidR="00362544" w:rsidRPr="00532F04">
        <w:rPr>
          <w:rFonts w:asciiTheme="minorHAnsi" w:hAnsiTheme="minorHAnsi" w:cstheme="minorBidi"/>
          <w:sz w:val="22"/>
          <w:szCs w:val="22"/>
          <w:lang w:eastAsia="en-US"/>
        </w:rPr>
        <w:t>Begum Coskun</w:t>
      </w:r>
    </w:p>
    <w:p w:rsidR="000F1431" w:rsidRPr="00532F04" w:rsidRDefault="000F1431" w:rsidP="000F1431">
      <w:pPr>
        <w:numPr>
          <w:ilvl w:val="0"/>
          <w:numId w:val="38"/>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Presentator / ‘dagvoorzitter’: Guus ten Asbroek / Erik Beune</w:t>
      </w:r>
    </w:p>
    <w:p w:rsidR="000F1431" w:rsidRPr="00532F04" w:rsidRDefault="000F1431" w:rsidP="000F1431">
      <w:pPr>
        <w:rPr>
          <w:rFonts w:asciiTheme="minorHAnsi" w:hAnsiTheme="minorHAnsi"/>
          <w:b/>
          <w:sz w:val="22"/>
          <w:szCs w:val="22"/>
        </w:rPr>
      </w:pPr>
    </w:p>
    <w:p w:rsidR="000F1431" w:rsidRPr="00532F04" w:rsidRDefault="000F1431" w:rsidP="000F1431">
      <w:pPr>
        <w:rPr>
          <w:rFonts w:asciiTheme="minorHAnsi" w:hAnsiTheme="minorHAnsi"/>
          <w:b/>
          <w:sz w:val="22"/>
          <w:szCs w:val="22"/>
        </w:rPr>
      </w:pPr>
    </w:p>
    <w:p w:rsidR="000F1431" w:rsidRPr="00532F04" w:rsidRDefault="000F1431" w:rsidP="000F1431">
      <w:pPr>
        <w:rPr>
          <w:rFonts w:asciiTheme="minorHAnsi" w:hAnsiTheme="minorHAnsi"/>
          <w:b/>
          <w:sz w:val="22"/>
          <w:szCs w:val="22"/>
        </w:rPr>
      </w:pPr>
      <w:r w:rsidRPr="00532F04">
        <w:rPr>
          <w:rFonts w:asciiTheme="minorHAnsi" w:hAnsiTheme="minorHAnsi"/>
          <w:b/>
          <w:sz w:val="22"/>
          <w:szCs w:val="22"/>
        </w:rPr>
        <w:t>Programma 90 minuten</w:t>
      </w:r>
    </w:p>
    <w:tbl>
      <w:tblPr>
        <w:tblStyle w:val="Tabelraster"/>
        <w:tblW w:w="0" w:type="auto"/>
        <w:tblLook w:val="04A0" w:firstRow="1" w:lastRow="0" w:firstColumn="1" w:lastColumn="0" w:noHBand="0" w:noVBand="1"/>
      </w:tblPr>
      <w:tblGrid>
        <w:gridCol w:w="1368"/>
        <w:gridCol w:w="7694"/>
      </w:tblGrid>
      <w:tr w:rsidR="000F1431" w:rsidRPr="00532F04" w:rsidTr="00362544">
        <w:tc>
          <w:tcPr>
            <w:tcW w:w="1368"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0.00-0.05</w:t>
            </w:r>
          </w:p>
        </w:tc>
        <w:tc>
          <w:tcPr>
            <w:tcW w:w="7694"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Ontvangst en voorstellen</w:t>
            </w:r>
          </w:p>
        </w:tc>
      </w:tr>
      <w:tr w:rsidR="000F1431" w:rsidRPr="00532F04" w:rsidTr="0004529C">
        <w:tc>
          <w:tcPr>
            <w:tcW w:w="1368" w:type="dxa"/>
          </w:tcPr>
          <w:p w:rsidR="000F1431" w:rsidRPr="00532F04" w:rsidRDefault="00362544" w:rsidP="00035183">
            <w:pPr>
              <w:rPr>
                <w:rFonts w:asciiTheme="minorHAnsi" w:hAnsiTheme="minorHAnsi"/>
                <w:sz w:val="22"/>
                <w:szCs w:val="22"/>
              </w:rPr>
            </w:pPr>
            <w:r w:rsidRPr="00532F04">
              <w:rPr>
                <w:rFonts w:asciiTheme="minorHAnsi" w:hAnsiTheme="minorHAnsi"/>
                <w:sz w:val="22"/>
                <w:szCs w:val="22"/>
              </w:rPr>
              <w:t>0.05-0.40</w:t>
            </w:r>
          </w:p>
        </w:tc>
        <w:tc>
          <w:tcPr>
            <w:tcW w:w="7694" w:type="dxa"/>
          </w:tcPr>
          <w:p w:rsidR="000F1431" w:rsidRPr="00532F04" w:rsidRDefault="000F1431" w:rsidP="00035183">
            <w:pPr>
              <w:textAlignment w:val="center"/>
              <w:rPr>
                <w:rFonts w:asciiTheme="minorHAnsi" w:hAnsiTheme="minorHAnsi"/>
                <w:sz w:val="22"/>
                <w:szCs w:val="22"/>
              </w:rPr>
            </w:pPr>
            <w:r w:rsidRPr="00532F04">
              <w:rPr>
                <w:rFonts w:asciiTheme="minorHAnsi" w:hAnsiTheme="minorHAnsi"/>
                <w:sz w:val="22"/>
                <w:szCs w:val="22"/>
              </w:rPr>
              <w:t>Introductie en uitleg over het begrip Internationalisering, en internationalisering @Home</w:t>
            </w:r>
          </w:p>
        </w:tc>
      </w:tr>
      <w:tr w:rsidR="000F1431" w:rsidRPr="00532F04" w:rsidTr="0004529C">
        <w:tc>
          <w:tcPr>
            <w:tcW w:w="1368"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0.40-0.45</w:t>
            </w:r>
          </w:p>
        </w:tc>
        <w:tc>
          <w:tcPr>
            <w:tcW w:w="7694"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Uitleg vervolg en indelen in breakoutrooms</w:t>
            </w:r>
          </w:p>
        </w:tc>
      </w:tr>
      <w:tr w:rsidR="000F1431" w:rsidRPr="0074005E" w:rsidTr="00362544">
        <w:tc>
          <w:tcPr>
            <w:tcW w:w="1368"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0.45 – 1.00</w:t>
            </w:r>
          </w:p>
        </w:tc>
        <w:tc>
          <w:tcPr>
            <w:tcW w:w="7694" w:type="dxa"/>
          </w:tcPr>
          <w:p w:rsidR="000F1431" w:rsidRPr="00532F04" w:rsidRDefault="000F1431" w:rsidP="00035183">
            <w:pPr>
              <w:rPr>
                <w:rFonts w:asciiTheme="minorHAnsi" w:hAnsiTheme="minorHAnsi"/>
                <w:sz w:val="22"/>
                <w:szCs w:val="22"/>
                <w:lang w:val="en-US"/>
              </w:rPr>
            </w:pPr>
            <w:r w:rsidRPr="00532F04">
              <w:rPr>
                <w:rFonts w:asciiTheme="minorHAnsi" w:hAnsiTheme="minorHAnsi"/>
                <w:sz w:val="22"/>
                <w:szCs w:val="22"/>
                <w:lang w:val="en-US"/>
              </w:rPr>
              <w:t xml:space="preserve">Breakoutroom 1; </w:t>
            </w:r>
          </w:p>
          <w:p w:rsidR="000F1431" w:rsidRPr="00532F04" w:rsidRDefault="000F1431" w:rsidP="00362544">
            <w:pPr>
              <w:rPr>
                <w:rFonts w:asciiTheme="minorHAnsi" w:hAnsiTheme="minorHAnsi"/>
                <w:sz w:val="22"/>
                <w:szCs w:val="22"/>
                <w:lang w:val="en-US"/>
              </w:rPr>
            </w:pPr>
            <w:r w:rsidRPr="00532F04">
              <w:rPr>
                <w:rFonts w:asciiTheme="minorHAnsi" w:hAnsiTheme="minorHAnsi"/>
                <w:sz w:val="22"/>
                <w:szCs w:val="22"/>
                <w:lang w:val="en-US"/>
              </w:rPr>
              <w:t xml:space="preserve">Shared practices </w:t>
            </w:r>
            <w:r w:rsidR="00362544" w:rsidRPr="00532F04">
              <w:rPr>
                <w:rFonts w:asciiTheme="minorHAnsi" w:hAnsiTheme="minorHAnsi"/>
                <w:sz w:val="22"/>
                <w:szCs w:val="22"/>
                <w:lang w:val="en-US"/>
              </w:rPr>
              <w:t>uit AMC en andere UMC’s</w:t>
            </w:r>
          </w:p>
        </w:tc>
      </w:tr>
      <w:tr w:rsidR="000F1431" w:rsidRPr="00532F04" w:rsidTr="00362544">
        <w:tc>
          <w:tcPr>
            <w:tcW w:w="1368"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1.00-1.05</w:t>
            </w:r>
          </w:p>
        </w:tc>
        <w:tc>
          <w:tcPr>
            <w:tcW w:w="7694"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Wisselen van breakoutroom door de presentatoren</w:t>
            </w:r>
          </w:p>
        </w:tc>
      </w:tr>
      <w:tr w:rsidR="000F1431" w:rsidRPr="0074005E" w:rsidTr="00362544">
        <w:tc>
          <w:tcPr>
            <w:tcW w:w="1368"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1.05-1.20</w:t>
            </w:r>
          </w:p>
        </w:tc>
        <w:tc>
          <w:tcPr>
            <w:tcW w:w="7694" w:type="dxa"/>
          </w:tcPr>
          <w:p w:rsidR="000F1431" w:rsidRPr="00532F04" w:rsidRDefault="000F1431" w:rsidP="00035183">
            <w:pPr>
              <w:rPr>
                <w:rFonts w:asciiTheme="minorHAnsi" w:hAnsiTheme="minorHAnsi"/>
                <w:sz w:val="22"/>
                <w:szCs w:val="22"/>
                <w:lang w:val="en-US"/>
              </w:rPr>
            </w:pPr>
            <w:r w:rsidRPr="00532F04">
              <w:rPr>
                <w:rFonts w:asciiTheme="minorHAnsi" w:hAnsiTheme="minorHAnsi"/>
                <w:sz w:val="22"/>
                <w:szCs w:val="22"/>
                <w:lang w:val="en-US"/>
              </w:rPr>
              <w:t>Breakoutroom 2</w:t>
            </w:r>
          </w:p>
          <w:p w:rsidR="000F1431" w:rsidRPr="00532F04" w:rsidRDefault="000F1431" w:rsidP="00362544">
            <w:pPr>
              <w:rPr>
                <w:rFonts w:asciiTheme="minorHAnsi" w:hAnsiTheme="minorHAnsi"/>
                <w:sz w:val="22"/>
                <w:szCs w:val="22"/>
                <w:lang w:val="en-US"/>
              </w:rPr>
            </w:pPr>
            <w:r w:rsidRPr="00532F04">
              <w:rPr>
                <w:rFonts w:asciiTheme="minorHAnsi" w:hAnsiTheme="minorHAnsi"/>
                <w:sz w:val="22"/>
                <w:szCs w:val="22"/>
                <w:lang w:val="en-US"/>
              </w:rPr>
              <w:t xml:space="preserve">Shared practices </w:t>
            </w:r>
            <w:r w:rsidR="00362544" w:rsidRPr="00532F04">
              <w:rPr>
                <w:rFonts w:asciiTheme="minorHAnsi" w:hAnsiTheme="minorHAnsi"/>
                <w:sz w:val="22"/>
                <w:szCs w:val="22"/>
                <w:lang w:val="en-US"/>
              </w:rPr>
              <w:t>uit AMC en andere UMC’s</w:t>
            </w:r>
          </w:p>
        </w:tc>
      </w:tr>
      <w:tr w:rsidR="000F1431" w:rsidRPr="00532F04" w:rsidTr="00362544">
        <w:tc>
          <w:tcPr>
            <w:tcW w:w="1368" w:type="dxa"/>
          </w:tcPr>
          <w:p w:rsidR="000F1431" w:rsidRPr="00532F04" w:rsidRDefault="000F1431" w:rsidP="00035183">
            <w:pPr>
              <w:rPr>
                <w:rFonts w:asciiTheme="minorHAnsi" w:hAnsiTheme="minorHAnsi"/>
                <w:sz w:val="22"/>
                <w:szCs w:val="22"/>
              </w:rPr>
            </w:pPr>
            <w:r w:rsidRPr="00532F04">
              <w:rPr>
                <w:rFonts w:asciiTheme="minorHAnsi" w:hAnsiTheme="minorHAnsi"/>
                <w:sz w:val="22"/>
                <w:szCs w:val="22"/>
              </w:rPr>
              <w:t xml:space="preserve">1.20-1.30 </w:t>
            </w:r>
          </w:p>
        </w:tc>
        <w:tc>
          <w:tcPr>
            <w:tcW w:w="7694" w:type="dxa"/>
          </w:tcPr>
          <w:p w:rsidR="000F1431" w:rsidRPr="00532F04" w:rsidRDefault="000F1431" w:rsidP="00035183">
            <w:pPr>
              <w:textAlignment w:val="center"/>
              <w:rPr>
                <w:rFonts w:asciiTheme="minorHAnsi" w:hAnsiTheme="minorHAnsi"/>
                <w:sz w:val="22"/>
                <w:szCs w:val="22"/>
              </w:rPr>
            </w:pPr>
            <w:r w:rsidRPr="00532F04">
              <w:rPr>
                <w:rFonts w:asciiTheme="minorHAnsi" w:hAnsiTheme="minorHAnsi"/>
                <w:sz w:val="22"/>
                <w:szCs w:val="22"/>
              </w:rPr>
              <w:t>Terugkoppeling van breakout rooms, Practice, inspiratie, experience</w:t>
            </w:r>
          </w:p>
          <w:p w:rsidR="000F1431" w:rsidRPr="00532F04" w:rsidRDefault="000F1431" w:rsidP="00035183">
            <w:pPr>
              <w:rPr>
                <w:rFonts w:asciiTheme="minorHAnsi" w:hAnsiTheme="minorHAnsi"/>
                <w:sz w:val="22"/>
                <w:szCs w:val="22"/>
              </w:rPr>
            </w:pPr>
            <w:r w:rsidRPr="00532F04">
              <w:rPr>
                <w:rFonts w:asciiTheme="minorHAnsi" w:hAnsiTheme="minorHAnsi"/>
                <w:sz w:val="22"/>
                <w:szCs w:val="22"/>
              </w:rPr>
              <w:t>Afsluiting</w:t>
            </w:r>
          </w:p>
        </w:tc>
      </w:tr>
    </w:tbl>
    <w:p w:rsidR="00532F04" w:rsidRDefault="00532F04" w:rsidP="0004529C">
      <w:pPr>
        <w:rPr>
          <w:rFonts w:asciiTheme="minorHAnsi" w:hAnsiTheme="minorHAnsi" w:cs="Arial"/>
          <w:b/>
          <w:sz w:val="22"/>
          <w:szCs w:val="22"/>
        </w:rPr>
      </w:pPr>
    </w:p>
    <w:p w:rsidR="00532F04" w:rsidRDefault="00532F04">
      <w:pPr>
        <w:rPr>
          <w:rFonts w:asciiTheme="minorHAnsi" w:hAnsiTheme="minorHAnsi" w:cs="Arial"/>
          <w:b/>
          <w:sz w:val="22"/>
          <w:szCs w:val="22"/>
        </w:rPr>
      </w:pPr>
      <w:r>
        <w:rPr>
          <w:rFonts w:asciiTheme="minorHAnsi" w:hAnsiTheme="minorHAnsi" w:cs="Arial"/>
          <w:b/>
          <w:sz w:val="22"/>
          <w:szCs w:val="22"/>
        </w:rPr>
        <w:br w:type="page"/>
      </w:r>
    </w:p>
    <w:p w:rsidR="0004529C" w:rsidRPr="00532F04" w:rsidRDefault="0004529C" w:rsidP="0004529C">
      <w:pPr>
        <w:rPr>
          <w:rFonts w:asciiTheme="minorHAnsi" w:hAnsiTheme="minorHAnsi" w:cs="Arial"/>
          <w:sz w:val="22"/>
          <w:szCs w:val="22"/>
        </w:rPr>
      </w:pPr>
      <w:r w:rsidRPr="00532F04">
        <w:rPr>
          <w:rFonts w:asciiTheme="minorHAnsi" w:hAnsiTheme="minorHAnsi" w:cs="Arial"/>
          <w:b/>
          <w:sz w:val="22"/>
          <w:szCs w:val="22"/>
        </w:rPr>
        <w:lastRenderedPageBreak/>
        <w:t>TLC Masterclass 4</w:t>
      </w:r>
    </w:p>
    <w:p w:rsidR="0004529C" w:rsidRPr="00532F04" w:rsidRDefault="0004529C" w:rsidP="0004529C">
      <w:pPr>
        <w:rPr>
          <w:rFonts w:asciiTheme="minorHAnsi" w:hAnsiTheme="minorHAnsi"/>
          <w:b/>
          <w:sz w:val="22"/>
          <w:szCs w:val="22"/>
          <w:lang w:val="en-US"/>
        </w:rPr>
      </w:pPr>
      <w:r w:rsidRPr="00532F04">
        <w:rPr>
          <w:rFonts w:asciiTheme="minorHAnsi" w:hAnsiTheme="minorHAnsi"/>
          <w:b/>
          <w:sz w:val="22"/>
          <w:szCs w:val="22"/>
          <w:lang w:val="en-US"/>
        </w:rPr>
        <w:t>The new virtual reality of medical education</w:t>
      </w:r>
    </w:p>
    <w:p w:rsidR="0004529C" w:rsidRPr="00532F04" w:rsidRDefault="0004529C" w:rsidP="0004529C">
      <w:pPr>
        <w:rPr>
          <w:rFonts w:asciiTheme="minorHAnsi" w:hAnsiTheme="minorHAnsi"/>
          <w:sz w:val="22"/>
          <w:szCs w:val="22"/>
          <w:lang w:val="en-US"/>
        </w:rPr>
      </w:pPr>
    </w:p>
    <w:p w:rsidR="0004529C" w:rsidRPr="00532F04" w:rsidRDefault="0004529C" w:rsidP="0004529C">
      <w:pPr>
        <w:rPr>
          <w:rFonts w:asciiTheme="minorHAnsi" w:hAnsiTheme="minorHAnsi"/>
          <w:sz w:val="22"/>
          <w:szCs w:val="22"/>
        </w:rPr>
      </w:pPr>
      <w:r w:rsidRPr="00532F04">
        <w:rPr>
          <w:rFonts w:asciiTheme="minorHAnsi" w:hAnsiTheme="minorHAnsi"/>
          <w:b/>
          <w:sz w:val="22"/>
          <w:szCs w:val="22"/>
        </w:rPr>
        <w:t>Tijdsduur:</w:t>
      </w:r>
      <w:r w:rsidRPr="00532F04">
        <w:rPr>
          <w:rFonts w:asciiTheme="minorHAnsi" w:hAnsiTheme="minorHAnsi"/>
          <w:sz w:val="22"/>
          <w:szCs w:val="22"/>
        </w:rPr>
        <w:t xml:space="preserve"> 1,5 uur</w:t>
      </w:r>
    </w:p>
    <w:p w:rsidR="0004529C" w:rsidRPr="00532F04" w:rsidRDefault="0004529C" w:rsidP="0004529C">
      <w:pPr>
        <w:rPr>
          <w:rFonts w:asciiTheme="minorHAnsi" w:hAnsiTheme="minorHAnsi"/>
          <w:sz w:val="22"/>
          <w:szCs w:val="22"/>
        </w:rPr>
      </w:pPr>
    </w:p>
    <w:p w:rsidR="00532F04" w:rsidRPr="00532F04" w:rsidRDefault="00532F04" w:rsidP="0004529C">
      <w:pPr>
        <w:rPr>
          <w:rFonts w:asciiTheme="minorHAnsi" w:hAnsiTheme="minorHAnsi"/>
          <w:b/>
          <w:sz w:val="22"/>
          <w:szCs w:val="22"/>
        </w:rPr>
      </w:pPr>
      <w:r w:rsidRPr="00532F04">
        <w:rPr>
          <w:rFonts w:asciiTheme="minorHAnsi" w:hAnsiTheme="minorHAnsi"/>
          <w:b/>
          <w:sz w:val="22"/>
          <w:szCs w:val="22"/>
        </w:rPr>
        <w:t>Inhoud</w:t>
      </w:r>
    </w:p>
    <w:p w:rsidR="0004529C" w:rsidRPr="00532F04" w:rsidRDefault="0004529C" w:rsidP="00532F04">
      <w:pPr>
        <w:rPr>
          <w:rFonts w:asciiTheme="minorHAnsi" w:hAnsiTheme="minorHAnsi"/>
          <w:sz w:val="22"/>
          <w:szCs w:val="22"/>
        </w:rPr>
      </w:pPr>
      <w:r w:rsidRPr="00532F04">
        <w:rPr>
          <w:rFonts w:asciiTheme="minorHAnsi" w:hAnsiTheme="minorHAnsi"/>
          <w:sz w:val="22"/>
          <w:szCs w:val="22"/>
        </w:rPr>
        <w:t xml:space="preserve">De laatste jaren worden in de zorg steeds meer toepassingen van virtual reality (VR) toegepast binnen het leren en opleiden op de werkplek. In deze masterclass wordt Tijdens de workshop zullen de verschillende vormen van VR en immersive learning worden toegelicht. Ontdek tijdens deze workshop waar VR in jouw onderwijs en/of werkplek in gezet kan worden en ga actief aan de slag om de eerste stappen te maken voor het ontwerpen van een VR. Hierbij zullen voorbeelden die al in het Amsterdam UMC worden gebruikt, worden toegelicht. </w:t>
      </w:r>
    </w:p>
    <w:p w:rsidR="0004529C" w:rsidRPr="00532F04" w:rsidRDefault="0004529C" w:rsidP="0004529C">
      <w:pPr>
        <w:rPr>
          <w:rFonts w:asciiTheme="minorHAnsi" w:hAnsiTheme="minorHAnsi"/>
          <w:sz w:val="22"/>
          <w:szCs w:val="22"/>
        </w:rPr>
      </w:pPr>
    </w:p>
    <w:p w:rsidR="0004529C" w:rsidRPr="00532F04" w:rsidRDefault="0004529C" w:rsidP="0004529C">
      <w:pPr>
        <w:rPr>
          <w:rFonts w:asciiTheme="minorHAnsi" w:hAnsiTheme="minorHAnsi"/>
          <w:sz w:val="22"/>
          <w:szCs w:val="22"/>
        </w:rPr>
      </w:pPr>
      <w:r w:rsidRPr="00532F04">
        <w:rPr>
          <w:rFonts w:asciiTheme="minorHAnsi" w:hAnsiTheme="minorHAnsi"/>
          <w:sz w:val="22"/>
          <w:szCs w:val="22"/>
        </w:rPr>
        <w:t xml:space="preserve">Een van deze voorbeelden is het gebruik van virtual reality bij de SEH. </w:t>
      </w:r>
      <w:r w:rsidRPr="00532F04">
        <w:rPr>
          <w:rFonts w:asciiTheme="minorHAnsi" w:hAnsiTheme="minorHAnsi"/>
          <w:i/>
          <w:sz w:val="22"/>
          <w:szCs w:val="22"/>
        </w:rPr>
        <w:t>Het doel van de SEH was het ontwerpen van een extra leermogelijkheid in de vorm van een virtual reality voor het oefenen van een opvang van een traumapatiënt, waardoor SEH verpleegkundigen i.o. een instabiele traumapatiënt sneller herkennen, de theorie aan de praktijk kunnen koppelen en een toename in hun zelfvertrouwen ervaren in de praktijk.</w:t>
      </w:r>
      <w:r w:rsidRPr="00532F04">
        <w:rPr>
          <w:rFonts w:asciiTheme="minorHAnsi" w:hAnsiTheme="minorHAnsi"/>
          <w:sz w:val="22"/>
          <w:szCs w:val="22"/>
        </w:rPr>
        <w:t xml:space="preserve"> </w:t>
      </w:r>
      <w:r w:rsidR="00532F04" w:rsidRPr="00532F04">
        <w:rPr>
          <w:rFonts w:asciiTheme="minorHAnsi" w:hAnsiTheme="minorHAnsi"/>
          <w:sz w:val="22"/>
          <w:szCs w:val="22"/>
        </w:rPr>
        <w:t>Aan de hand van dit voorbeeld zal op een interactieve manier de link worden gelegd met de toepassing van VR in je eigen onderwijs.</w:t>
      </w:r>
    </w:p>
    <w:p w:rsidR="0004529C" w:rsidRPr="00532F04" w:rsidRDefault="0004529C" w:rsidP="0004529C">
      <w:pPr>
        <w:rPr>
          <w:rFonts w:asciiTheme="minorHAnsi" w:hAnsiTheme="minorHAnsi"/>
          <w:sz w:val="22"/>
          <w:szCs w:val="22"/>
        </w:rPr>
      </w:pPr>
    </w:p>
    <w:p w:rsidR="0004529C" w:rsidRPr="00532F04" w:rsidRDefault="0004529C" w:rsidP="0004529C">
      <w:pPr>
        <w:spacing w:after="200" w:line="276" w:lineRule="auto"/>
        <w:rPr>
          <w:rFonts w:asciiTheme="minorHAnsi" w:hAnsiTheme="minorHAnsi" w:cstheme="minorBidi"/>
          <w:b/>
          <w:sz w:val="22"/>
          <w:szCs w:val="22"/>
          <w:lang w:eastAsia="en-US"/>
        </w:rPr>
      </w:pPr>
      <w:r w:rsidRPr="00532F04">
        <w:rPr>
          <w:rFonts w:asciiTheme="minorHAnsi" w:hAnsiTheme="minorHAnsi" w:cstheme="minorBidi"/>
          <w:b/>
          <w:sz w:val="22"/>
          <w:szCs w:val="22"/>
          <w:lang w:eastAsia="en-US"/>
        </w:rPr>
        <w:t>Leeropbrengsten:</w:t>
      </w:r>
    </w:p>
    <w:p w:rsidR="0004529C" w:rsidRPr="00532F04" w:rsidRDefault="0004529C" w:rsidP="0004529C">
      <w:pPr>
        <w:numPr>
          <w:ilvl w:val="0"/>
          <w:numId w:val="37"/>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Deelnemers kunnen benoemen welke vormen van VR en immersive learning er zijn en hoe dit toegepast kan worden in medisch onderwijs. </w:t>
      </w:r>
    </w:p>
    <w:p w:rsidR="0004529C" w:rsidRPr="00532F04" w:rsidRDefault="0004529C" w:rsidP="0004529C">
      <w:pPr>
        <w:numPr>
          <w:ilvl w:val="0"/>
          <w:numId w:val="37"/>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Deelnemers kunnen aan de hand van de besproken voorbeelden zelf toepassingen van VR bedenken voor hun eigen onderwijs/opleidingssituatie.  </w:t>
      </w:r>
    </w:p>
    <w:p w:rsidR="0004529C" w:rsidRPr="00532F04" w:rsidRDefault="0004529C" w:rsidP="0004529C">
      <w:pPr>
        <w:spacing w:after="200" w:line="276" w:lineRule="auto"/>
        <w:contextualSpacing/>
        <w:rPr>
          <w:rFonts w:asciiTheme="minorHAnsi" w:hAnsiTheme="minorHAnsi" w:cstheme="minorBidi"/>
          <w:sz w:val="22"/>
          <w:szCs w:val="22"/>
          <w:lang w:eastAsia="en-US"/>
        </w:rPr>
      </w:pPr>
    </w:p>
    <w:p w:rsidR="0004529C" w:rsidRPr="00532F04" w:rsidRDefault="0004529C" w:rsidP="0004529C">
      <w:pPr>
        <w:spacing w:after="200" w:line="276" w:lineRule="auto"/>
        <w:rPr>
          <w:rFonts w:asciiTheme="minorHAnsi" w:hAnsiTheme="minorHAnsi" w:cstheme="minorBidi"/>
          <w:b/>
          <w:sz w:val="22"/>
          <w:szCs w:val="22"/>
          <w:lang w:eastAsia="en-US"/>
        </w:rPr>
      </w:pPr>
      <w:r w:rsidRPr="00532F04">
        <w:rPr>
          <w:rFonts w:asciiTheme="minorHAnsi" w:hAnsiTheme="minorHAnsi" w:cstheme="minorBidi"/>
          <w:b/>
          <w:sz w:val="22"/>
          <w:szCs w:val="22"/>
          <w:lang w:eastAsia="en-US"/>
        </w:rPr>
        <w:t>Technologie / rolverdeling:</w:t>
      </w:r>
    </w:p>
    <w:p w:rsidR="0004529C" w:rsidRPr="00532F04" w:rsidRDefault="0004529C" w:rsidP="0004529C">
      <w:pPr>
        <w:numPr>
          <w:ilvl w:val="0"/>
          <w:numId w:val="38"/>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Masterclass verloopt via Zoom. </w:t>
      </w:r>
    </w:p>
    <w:p w:rsidR="0004529C" w:rsidRPr="00532F04" w:rsidRDefault="0004529C" w:rsidP="0004529C">
      <w:pPr>
        <w:numPr>
          <w:ilvl w:val="0"/>
          <w:numId w:val="38"/>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Moderator: Karline Timmermans</w:t>
      </w:r>
    </w:p>
    <w:p w:rsidR="0004529C" w:rsidRPr="00532F04" w:rsidRDefault="0004529C" w:rsidP="0004529C">
      <w:pPr>
        <w:numPr>
          <w:ilvl w:val="0"/>
          <w:numId w:val="38"/>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Presentator / ‘dagvoorzitter’: Mare Lensveld / Chantal Albicher</w:t>
      </w:r>
    </w:p>
    <w:p w:rsidR="0004529C" w:rsidRPr="00532F04" w:rsidRDefault="0004529C" w:rsidP="0004529C">
      <w:pPr>
        <w:rPr>
          <w:rFonts w:asciiTheme="minorHAnsi" w:hAnsiTheme="minorHAnsi"/>
          <w:b/>
          <w:sz w:val="22"/>
          <w:szCs w:val="22"/>
        </w:rPr>
      </w:pPr>
    </w:p>
    <w:p w:rsidR="0004529C" w:rsidRPr="00532F04" w:rsidRDefault="0004529C" w:rsidP="0004529C">
      <w:pPr>
        <w:rPr>
          <w:rFonts w:asciiTheme="minorHAnsi" w:hAnsiTheme="minorHAnsi"/>
          <w:b/>
          <w:sz w:val="22"/>
          <w:szCs w:val="22"/>
        </w:rPr>
      </w:pPr>
      <w:r w:rsidRPr="00532F04">
        <w:rPr>
          <w:rFonts w:asciiTheme="minorHAnsi" w:hAnsiTheme="minorHAnsi"/>
          <w:b/>
          <w:sz w:val="22"/>
          <w:szCs w:val="22"/>
        </w:rPr>
        <w:t xml:space="preserve">Programma </w:t>
      </w:r>
    </w:p>
    <w:tbl>
      <w:tblPr>
        <w:tblStyle w:val="Tabelraster"/>
        <w:tblW w:w="0" w:type="auto"/>
        <w:tblLook w:val="04A0" w:firstRow="1" w:lastRow="0" w:firstColumn="1" w:lastColumn="0" w:noHBand="0" w:noVBand="1"/>
      </w:tblPr>
      <w:tblGrid>
        <w:gridCol w:w="1368"/>
        <w:gridCol w:w="7694"/>
      </w:tblGrid>
      <w:tr w:rsidR="0004529C" w:rsidRPr="00532F04" w:rsidTr="00532F04">
        <w:tc>
          <w:tcPr>
            <w:tcW w:w="1369" w:type="dxa"/>
          </w:tcPr>
          <w:p w:rsidR="0004529C" w:rsidRPr="00532F04" w:rsidRDefault="0004529C" w:rsidP="00035183">
            <w:pPr>
              <w:rPr>
                <w:rFonts w:asciiTheme="minorHAnsi" w:hAnsiTheme="minorHAnsi"/>
                <w:sz w:val="22"/>
                <w:szCs w:val="22"/>
              </w:rPr>
            </w:pPr>
            <w:r w:rsidRPr="00532F04">
              <w:rPr>
                <w:rFonts w:asciiTheme="minorHAnsi" w:hAnsiTheme="minorHAnsi"/>
                <w:sz w:val="22"/>
                <w:szCs w:val="22"/>
              </w:rPr>
              <w:t>0.00-0.05</w:t>
            </w:r>
          </w:p>
        </w:tc>
        <w:tc>
          <w:tcPr>
            <w:tcW w:w="7693" w:type="dxa"/>
          </w:tcPr>
          <w:p w:rsidR="0004529C" w:rsidRPr="00532F04" w:rsidRDefault="0004529C" w:rsidP="00035183">
            <w:pPr>
              <w:rPr>
                <w:rFonts w:asciiTheme="minorHAnsi" w:hAnsiTheme="minorHAnsi"/>
                <w:sz w:val="22"/>
                <w:szCs w:val="22"/>
              </w:rPr>
            </w:pPr>
            <w:r w:rsidRPr="00532F04">
              <w:rPr>
                <w:rFonts w:asciiTheme="minorHAnsi" w:hAnsiTheme="minorHAnsi"/>
                <w:sz w:val="22"/>
                <w:szCs w:val="22"/>
              </w:rPr>
              <w:t>Ontvangst en voorstellen</w:t>
            </w:r>
          </w:p>
        </w:tc>
      </w:tr>
      <w:tr w:rsidR="0004529C" w:rsidRPr="00532F04" w:rsidTr="00035183">
        <w:tc>
          <w:tcPr>
            <w:tcW w:w="1384" w:type="dxa"/>
          </w:tcPr>
          <w:p w:rsidR="0004529C" w:rsidRPr="00532F04" w:rsidRDefault="0004529C" w:rsidP="00035183">
            <w:pPr>
              <w:rPr>
                <w:rFonts w:asciiTheme="minorHAnsi" w:hAnsiTheme="minorHAnsi"/>
                <w:sz w:val="22"/>
                <w:szCs w:val="22"/>
              </w:rPr>
            </w:pPr>
            <w:r w:rsidRPr="00532F04">
              <w:rPr>
                <w:rFonts w:asciiTheme="minorHAnsi" w:hAnsiTheme="minorHAnsi"/>
                <w:sz w:val="22"/>
                <w:szCs w:val="22"/>
              </w:rPr>
              <w:t>0.05-0.40</w:t>
            </w:r>
          </w:p>
        </w:tc>
        <w:tc>
          <w:tcPr>
            <w:tcW w:w="7828" w:type="dxa"/>
          </w:tcPr>
          <w:p w:rsidR="0004529C" w:rsidRPr="00532F04" w:rsidRDefault="0004529C" w:rsidP="0004529C">
            <w:pPr>
              <w:textAlignment w:val="center"/>
              <w:rPr>
                <w:rFonts w:asciiTheme="minorHAnsi" w:hAnsiTheme="minorHAnsi"/>
                <w:sz w:val="22"/>
                <w:szCs w:val="22"/>
              </w:rPr>
            </w:pPr>
            <w:r w:rsidRPr="00532F04">
              <w:rPr>
                <w:rFonts w:asciiTheme="minorHAnsi" w:hAnsiTheme="minorHAnsi"/>
                <w:sz w:val="22"/>
                <w:szCs w:val="22"/>
              </w:rPr>
              <w:t>Uitleg over de verschillende vormen van VR en immersive learning aan de hand van concrete voorbeelden door Tim Feenstra</w:t>
            </w:r>
          </w:p>
        </w:tc>
      </w:tr>
      <w:tr w:rsidR="0004529C" w:rsidRPr="00532F04" w:rsidTr="00035183">
        <w:tc>
          <w:tcPr>
            <w:tcW w:w="1384" w:type="dxa"/>
          </w:tcPr>
          <w:p w:rsidR="0004529C" w:rsidRPr="00532F04" w:rsidRDefault="0004529C" w:rsidP="0004529C">
            <w:pPr>
              <w:rPr>
                <w:rFonts w:asciiTheme="minorHAnsi" w:hAnsiTheme="minorHAnsi"/>
                <w:sz w:val="22"/>
                <w:szCs w:val="22"/>
              </w:rPr>
            </w:pPr>
            <w:r w:rsidRPr="00532F04">
              <w:rPr>
                <w:rFonts w:asciiTheme="minorHAnsi" w:hAnsiTheme="minorHAnsi"/>
                <w:sz w:val="22"/>
                <w:szCs w:val="22"/>
              </w:rPr>
              <w:t>0.40-1.05</w:t>
            </w:r>
          </w:p>
        </w:tc>
        <w:tc>
          <w:tcPr>
            <w:tcW w:w="7828" w:type="dxa"/>
          </w:tcPr>
          <w:p w:rsidR="0004529C" w:rsidRPr="00532F04" w:rsidRDefault="0004529C" w:rsidP="0004529C">
            <w:pPr>
              <w:rPr>
                <w:rFonts w:asciiTheme="minorHAnsi" w:hAnsiTheme="minorHAnsi"/>
                <w:sz w:val="22"/>
                <w:szCs w:val="22"/>
              </w:rPr>
            </w:pPr>
            <w:r w:rsidRPr="00532F04">
              <w:rPr>
                <w:rFonts w:asciiTheme="minorHAnsi" w:hAnsiTheme="minorHAnsi"/>
                <w:sz w:val="22"/>
                <w:szCs w:val="22"/>
              </w:rPr>
              <w:t xml:space="preserve">Uitgebreide toelichting op het VR project binnen de SEH, wat zijn successen en aandachtspunten. </w:t>
            </w:r>
          </w:p>
        </w:tc>
      </w:tr>
      <w:tr w:rsidR="0004529C" w:rsidRPr="00532F04" w:rsidTr="00035183">
        <w:tc>
          <w:tcPr>
            <w:tcW w:w="1368" w:type="dxa"/>
          </w:tcPr>
          <w:p w:rsidR="0004529C" w:rsidRPr="00532F04" w:rsidRDefault="00532F04" w:rsidP="00035183">
            <w:pPr>
              <w:rPr>
                <w:rFonts w:asciiTheme="minorHAnsi" w:hAnsiTheme="minorHAnsi"/>
                <w:sz w:val="22"/>
                <w:szCs w:val="22"/>
              </w:rPr>
            </w:pPr>
            <w:r w:rsidRPr="00532F04">
              <w:rPr>
                <w:rFonts w:asciiTheme="minorHAnsi" w:hAnsiTheme="minorHAnsi"/>
                <w:sz w:val="22"/>
                <w:szCs w:val="22"/>
              </w:rPr>
              <w:t>1.05-1.15</w:t>
            </w:r>
          </w:p>
        </w:tc>
        <w:tc>
          <w:tcPr>
            <w:tcW w:w="7694" w:type="dxa"/>
          </w:tcPr>
          <w:p w:rsidR="0004529C" w:rsidRPr="00532F04" w:rsidRDefault="00532F04" w:rsidP="00035183">
            <w:pPr>
              <w:rPr>
                <w:rFonts w:asciiTheme="minorHAnsi" w:hAnsiTheme="minorHAnsi"/>
                <w:sz w:val="22"/>
                <w:szCs w:val="22"/>
              </w:rPr>
            </w:pPr>
            <w:r w:rsidRPr="00532F04">
              <w:rPr>
                <w:rFonts w:asciiTheme="minorHAnsi" w:hAnsiTheme="minorHAnsi"/>
                <w:sz w:val="22"/>
                <w:szCs w:val="22"/>
              </w:rPr>
              <w:t xml:space="preserve">Discussie in breakoutrooms over de toepassing van VR in het eigen onderwijs. Delen van inspiratie. </w:t>
            </w:r>
          </w:p>
        </w:tc>
      </w:tr>
      <w:tr w:rsidR="0004529C" w:rsidRPr="00532F04" w:rsidTr="00035183">
        <w:tc>
          <w:tcPr>
            <w:tcW w:w="1368" w:type="dxa"/>
          </w:tcPr>
          <w:p w:rsidR="0004529C" w:rsidRPr="00532F04" w:rsidRDefault="0004529C" w:rsidP="00532F04">
            <w:pPr>
              <w:rPr>
                <w:rFonts w:asciiTheme="minorHAnsi" w:hAnsiTheme="minorHAnsi"/>
                <w:sz w:val="22"/>
                <w:szCs w:val="22"/>
              </w:rPr>
            </w:pPr>
            <w:r w:rsidRPr="00532F04">
              <w:rPr>
                <w:rFonts w:asciiTheme="minorHAnsi" w:hAnsiTheme="minorHAnsi"/>
                <w:sz w:val="22"/>
                <w:szCs w:val="22"/>
              </w:rPr>
              <w:t>1.</w:t>
            </w:r>
            <w:r w:rsidR="00532F04" w:rsidRPr="00532F04">
              <w:rPr>
                <w:rFonts w:asciiTheme="minorHAnsi" w:hAnsiTheme="minorHAnsi"/>
                <w:sz w:val="22"/>
                <w:szCs w:val="22"/>
              </w:rPr>
              <w:t>15</w:t>
            </w:r>
            <w:r w:rsidRPr="00532F04">
              <w:rPr>
                <w:rFonts w:asciiTheme="minorHAnsi" w:hAnsiTheme="minorHAnsi"/>
                <w:sz w:val="22"/>
                <w:szCs w:val="22"/>
              </w:rPr>
              <w:t>-1.</w:t>
            </w:r>
            <w:r w:rsidR="00532F04" w:rsidRPr="00532F04">
              <w:rPr>
                <w:rFonts w:asciiTheme="minorHAnsi" w:hAnsiTheme="minorHAnsi"/>
                <w:sz w:val="22"/>
                <w:szCs w:val="22"/>
              </w:rPr>
              <w:t>30</w:t>
            </w:r>
          </w:p>
        </w:tc>
        <w:tc>
          <w:tcPr>
            <w:tcW w:w="7694" w:type="dxa"/>
          </w:tcPr>
          <w:p w:rsidR="00532F04" w:rsidRPr="00532F04" w:rsidRDefault="0004529C" w:rsidP="00532F04">
            <w:pPr>
              <w:textAlignment w:val="center"/>
              <w:rPr>
                <w:rFonts w:asciiTheme="minorHAnsi" w:hAnsiTheme="minorHAnsi"/>
                <w:sz w:val="22"/>
                <w:szCs w:val="22"/>
              </w:rPr>
            </w:pPr>
            <w:r w:rsidRPr="00532F04">
              <w:rPr>
                <w:rFonts w:asciiTheme="minorHAnsi" w:hAnsiTheme="minorHAnsi"/>
                <w:sz w:val="22"/>
                <w:szCs w:val="22"/>
              </w:rPr>
              <w:t>Ter</w:t>
            </w:r>
            <w:r w:rsidR="00532F04" w:rsidRPr="00532F04">
              <w:rPr>
                <w:rFonts w:asciiTheme="minorHAnsi" w:hAnsiTheme="minorHAnsi"/>
                <w:sz w:val="22"/>
                <w:szCs w:val="22"/>
              </w:rPr>
              <w:t>ugkoppeling van breakout rooms</w:t>
            </w:r>
          </w:p>
          <w:p w:rsidR="0004529C" w:rsidRPr="00532F04" w:rsidRDefault="0004529C" w:rsidP="00532F04">
            <w:pPr>
              <w:textAlignment w:val="center"/>
              <w:rPr>
                <w:rFonts w:asciiTheme="minorHAnsi" w:hAnsiTheme="minorHAnsi"/>
                <w:sz w:val="22"/>
                <w:szCs w:val="22"/>
              </w:rPr>
            </w:pPr>
            <w:r w:rsidRPr="00532F04">
              <w:rPr>
                <w:rFonts w:asciiTheme="minorHAnsi" w:hAnsiTheme="minorHAnsi"/>
                <w:sz w:val="22"/>
                <w:szCs w:val="22"/>
              </w:rPr>
              <w:t>Afsluiting</w:t>
            </w:r>
          </w:p>
        </w:tc>
      </w:tr>
    </w:tbl>
    <w:p w:rsidR="0004529C" w:rsidRPr="00532F04" w:rsidRDefault="0004529C" w:rsidP="0004529C">
      <w:pPr>
        <w:rPr>
          <w:rFonts w:asciiTheme="minorHAnsi" w:hAnsiTheme="minorHAnsi" w:cstheme="minorBidi"/>
          <w:sz w:val="22"/>
          <w:szCs w:val="22"/>
          <w:lang w:eastAsia="en-US"/>
        </w:rPr>
      </w:pPr>
    </w:p>
    <w:p w:rsidR="0004529C" w:rsidRPr="00532F04" w:rsidRDefault="0004529C" w:rsidP="0004529C">
      <w:pPr>
        <w:rPr>
          <w:rFonts w:asciiTheme="minorHAnsi" w:hAnsiTheme="minorHAnsi" w:cs="Arial"/>
          <w:sz w:val="22"/>
          <w:szCs w:val="22"/>
        </w:rPr>
      </w:pPr>
    </w:p>
    <w:p w:rsidR="000F1431" w:rsidRPr="00532F04" w:rsidRDefault="000F1431" w:rsidP="000F1431">
      <w:pPr>
        <w:rPr>
          <w:rFonts w:asciiTheme="minorHAnsi" w:hAnsiTheme="minorHAnsi" w:cstheme="minorBidi"/>
          <w:sz w:val="22"/>
          <w:szCs w:val="22"/>
          <w:lang w:eastAsia="en-US"/>
        </w:rPr>
      </w:pPr>
    </w:p>
    <w:p w:rsidR="00362544" w:rsidRPr="000F1431" w:rsidRDefault="00362544" w:rsidP="000F1431">
      <w:pPr>
        <w:rPr>
          <w:rFonts w:asciiTheme="minorHAnsi" w:hAnsiTheme="minorHAnsi" w:cs="Arial"/>
        </w:rPr>
      </w:pPr>
      <w:bookmarkStart w:id="0" w:name="_GoBack"/>
      <w:bookmarkEnd w:id="0"/>
    </w:p>
    <w:sectPr w:rsidR="00362544" w:rsidRPr="000F1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E8D"/>
    <w:multiLevelType w:val="hybridMultilevel"/>
    <w:tmpl w:val="1CD0D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7C4362"/>
    <w:multiLevelType w:val="hybridMultilevel"/>
    <w:tmpl w:val="91FA9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01743"/>
    <w:multiLevelType w:val="hybridMultilevel"/>
    <w:tmpl w:val="356A74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ED56DF"/>
    <w:multiLevelType w:val="hybridMultilevel"/>
    <w:tmpl w:val="F6108A1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2231DD"/>
    <w:multiLevelType w:val="hybridMultilevel"/>
    <w:tmpl w:val="995CEB74"/>
    <w:lvl w:ilvl="0" w:tplc="272E7AE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645B2"/>
    <w:multiLevelType w:val="hybridMultilevel"/>
    <w:tmpl w:val="9FE6B218"/>
    <w:lvl w:ilvl="0" w:tplc="460C98A4">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53E285C"/>
    <w:multiLevelType w:val="hybridMultilevel"/>
    <w:tmpl w:val="0AD29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ED1F16"/>
    <w:multiLevelType w:val="hybridMultilevel"/>
    <w:tmpl w:val="953EF8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A3B1181"/>
    <w:multiLevelType w:val="hybridMultilevel"/>
    <w:tmpl w:val="271604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9B072A"/>
    <w:multiLevelType w:val="hybridMultilevel"/>
    <w:tmpl w:val="EE1E7656"/>
    <w:lvl w:ilvl="0" w:tplc="D24E7D5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3B73CD"/>
    <w:multiLevelType w:val="hybridMultilevel"/>
    <w:tmpl w:val="408A5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0B3AEC"/>
    <w:multiLevelType w:val="hybridMultilevel"/>
    <w:tmpl w:val="6D96836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8365668"/>
    <w:multiLevelType w:val="hybridMultilevel"/>
    <w:tmpl w:val="23BC6F3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1B5599"/>
    <w:multiLevelType w:val="hybridMultilevel"/>
    <w:tmpl w:val="116A89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151D45"/>
    <w:multiLevelType w:val="hybridMultilevel"/>
    <w:tmpl w:val="6B88C1CA"/>
    <w:lvl w:ilvl="0" w:tplc="64DA6B4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FA414D"/>
    <w:multiLevelType w:val="hybridMultilevel"/>
    <w:tmpl w:val="DEDC3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2011D13"/>
    <w:multiLevelType w:val="hybridMultilevel"/>
    <w:tmpl w:val="1810A38C"/>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122EEA"/>
    <w:multiLevelType w:val="hybridMultilevel"/>
    <w:tmpl w:val="19680F28"/>
    <w:lvl w:ilvl="0" w:tplc="0008AF3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033FBE"/>
    <w:multiLevelType w:val="hybridMultilevel"/>
    <w:tmpl w:val="81DC63B4"/>
    <w:lvl w:ilvl="0" w:tplc="32B2493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845E6A"/>
    <w:multiLevelType w:val="hybridMultilevel"/>
    <w:tmpl w:val="38520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453E75"/>
    <w:multiLevelType w:val="hybridMultilevel"/>
    <w:tmpl w:val="A094B9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59E1063"/>
    <w:multiLevelType w:val="hybridMultilevel"/>
    <w:tmpl w:val="83D4BC9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15:restartNumberingAfterBreak="0">
    <w:nsid w:val="48F3585C"/>
    <w:multiLevelType w:val="hybridMultilevel"/>
    <w:tmpl w:val="109230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B76A76"/>
    <w:multiLevelType w:val="hybridMultilevel"/>
    <w:tmpl w:val="13062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0E770E"/>
    <w:multiLevelType w:val="multilevel"/>
    <w:tmpl w:val="5358D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C4818"/>
    <w:multiLevelType w:val="multilevel"/>
    <w:tmpl w:val="2BD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F3961"/>
    <w:multiLevelType w:val="hybridMultilevel"/>
    <w:tmpl w:val="E2CA23E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3E07FDC"/>
    <w:multiLevelType w:val="hybridMultilevel"/>
    <w:tmpl w:val="D6226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8A44DA1"/>
    <w:multiLevelType w:val="hybridMultilevel"/>
    <w:tmpl w:val="C81A1234"/>
    <w:lvl w:ilvl="0" w:tplc="94784874">
      <w:start w:val="1"/>
      <w:numFmt w:val="decimal"/>
      <w:lvlText w:val="%1."/>
      <w:lvlJc w:val="left"/>
      <w:pPr>
        <w:tabs>
          <w:tab w:val="num" w:pos="720"/>
        </w:tabs>
        <w:ind w:left="720" w:hanging="360"/>
      </w:pPr>
      <w:rPr>
        <w:rFonts w:hint="default"/>
        <w:lang w:val="nl-NL"/>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DF84381"/>
    <w:multiLevelType w:val="hybridMultilevel"/>
    <w:tmpl w:val="B75857EA"/>
    <w:lvl w:ilvl="0" w:tplc="870AFF96">
      <w:numFmt w:val="bullet"/>
      <w:lvlText w:val=""/>
      <w:lvlJc w:val="left"/>
      <w:pPr>
        <w:ind w:left="1776" w:hanging="360"/>
      </w:pPr>
      <w:rPr>
        <w:rFonts w:ascii="Symbol" w:eastAsia="Times New Roman" w:hAnsi="Symbol"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626F75F2"/>
    <w:multiLevelType w:val="hybridMultilevel"/>
    <w:tmpl w:val="0BBA32D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80A1DE2"/>
    <w:multiLevelType w:val="hybridMultilevel"/>
    <w:tmpl w:val="F4365FA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CA9503C"/>
    <w:multiLevelType w:val="hybridMultilevel"/>
    <w:tmpl w:val="C8C6E2B0"/>
    <w:lvl w:ilvl="0" w:tplc="0413000F">
      <w:start w:val="1"/>
      <w:numFmt w:val="decimal"/>
      <w:lvlText w:val="%1."/>
      <w:lvlJc w:val="left"/>
      <w:pPr>
        <w:ind w:left="0" w:hanging="360"/>
      </w:p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3" w15:restartNumberingAfterBreak="0">
    <w:nsid w:val="6FF85349"/>
    <w:multiLevelType w:val="hybridMultilevel"/>
    <w:tmpl w:val="BDBC5C08"/>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4" w15:restartNumberingAfterBreak="0">
    <w:nsid w:val="7030215F"/>
    <w:multiLevelType w:val="hybridMultilevel"/>
    <w:tmpl w:val="30BAB7F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C04187"/>
    <w:multiLevelType w:val="hybridMultilevel"/>
    <w:tmpl w:val="10DACB3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6660292"/>
    <w:multiLevelType w:val="hybridMultilevel"/>
    <w:tmpl w:val="ED44F7AC"/>
    <w:lvl w:ilvl="0" w:tplc="C024C1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5F3573"/>
    <w:multiLevelType w:val="hybridMultilevel"/>
    <w:tmpl w:val="5128BABE"/>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38" w15:restartNumberingAfterBreak="0">
    <w:nsid w:val="78DC63C7"/>
    <w:multiLevelType w:val="hybridMultilevel"/>
    <w:tmpl w:val="2152C078"/>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5"/>
  </w:num>
  <w:num w:numId="2">
    <w:abstractNumId w:val="28"/>
  </w:num>
  <w:num w:numId="3">
    <w:abstractNumId w:val="12"/>
  </w:num>
  <w:num w:numId="4">
    <w:abstractNumId w:val="16"/>
  </w:num>
  <w:num w:numId="5">
    <w:abstractNumId w:val="35"/>
  </w:num>
  <w:num w:numId="6">
    <w:abstractNumId w:val="30"/>
  </w:num>
  <w:num w:numId="7">
    <w:abstractNumId w:val="3"/>
  </w:num>
  <w:num w:numId="8">
    <w:abstractNumId w:val="34"/>
  </w:num>
  <w:num w:numId="9">
    <w:abstractNumId w:val="26"/>
  </w:num>
  <w:num w:numId="10">
    <w:abstractNumId w:val="14"/>
  </w:num>
  <w:num w:numId="11">
    <w:abstractNumId w:val="33"/>
  </w:num>
  <w:num w:numId="12">
    <w:abstractNumId w:val="1"/>
  </w:num>
  <w:num w:numId="13">
    <w:abstractNumId w:val="29"/>
  </w:num>
  <w:num w:numId="14">
    <w:abstractNumId w:val="38"/>
  </w:num>
  <w:num w:numId="15">
    <w:abstractNumId w:val="21"/>
  </w:num>
  <w:num w:numId="16">
    <w:abstractNumId w:val="20"/>
  </w:num>
  <w:num w:numId="17">
    <w:abstractNumId w:val="31"/>
  </w:num>
  <w:num w:numId="18">
    <w:abstractNumId w:val="7"/>
  </w:num>
  <w:num w:numId="19">
    <w:abstractNumId w:val="13"/>
  </w:num>
  <w:num w:numId="20">
    <w:abstractNumId w:val="32"/>
  </w:num>
  <w:num w:numId="21">
    <w:abstractNumId w:val="0"/>
  </w:num>
  <w:num w:numId="22">
    <w:abstractNumId w:val="2"/>
  </w:num>
  <w:num w:numId="23">
    <w:abstractNumId w:val="4"/>
  </w:num>
  <w:num w:numId="24">
    <w:abstractNumId w:val="18"/>
  </w:num>
  <w:num w:numId="25">
    <w:abstractNumId w:val="37"/>
  </w:num>
  <w:num w:numId="26">
    <w:abstractNumId w:val="6"/>
  </w:num>
  <w:num w:numId="27">
    <w:abstractNumId w:val="22"/>
  </w:num>
  <w:num w:numId="28">
    <w:abstractNumId w:val="17"/>
  </w:num>
  <w:num w:numId="29">
    <w:abstractNumId w:val="9"/>
  </w:num>
  <w:num w:numId="30">
    <w:abstractNumId w:val="27"/>
  </w:num>
  <w:num w:numId="31">
    <w:abstractNumId w:val="11"/>
  </w:num>
  <w:num w:numId="32">
    <w:abstractNumId w:val="8"/>
  </w:num>
  <w:num w:numId="33">
    <w:abstractNumId w:val="25"/>
  </w:num>
  <w:num w:numId="34">
    <w:abstractNumId w:val="10"/>
  </w:num>
  <w:num w:numId="35">
    <w:abstractNumId w:val="15"/>
  </w:num>
  <w:num w:numId="36">
    <w:abstractNumId w:val="19"/>
  </w:num>
  <w:num w:numId="37">
    <w:abstractNumId w:val="36"/>
  </w:num>
  <w:num w:numId="38">
    <w:abstractNumId w:val="2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48"/>
    <w:rsid w:val="0000191D"/>
    <w:rsid w:val="00012467"/>
    <w:rsid w:val="0004529C"/>
    <w:rsid w:val="00051115"/>
    <w:rsid w:val="00064B3A"/>
    <w:rsid w:val="00072A17"/>
    <w:rsid w:val="000D65D0"/>
    <w:rsid w:val="000E48F1"/>
    <w:rsid w:val="000E60CC"/>
    <w:rsid w:val="000F1431"/>
    <w:rsid w:val="001153D0"/>
    <w:rsid w:val="001477A0"/>
    <w:rsid w:val="00161954"/>
    <w:rsid w:val="00162D0F"/>
    <w:rsid w:val="001747C0"/>
    <w:rsid w:val="00194832"/>
    <w:rsid w:val="00195784"/>
    <w:rsid w:val="00196EFB"/>
    <w:rsid w:val="001B10F5"/>
    <w:rsid w:val="001B327D"/>
    <w:rsid w:val="001B376C"/>
    <w:rsid w:val="001C58A6"/>
    <w:rsid w:val="001D165D"/>
    <w:rsid w:val="001F6A11"/>
    <w:rsid w:val="002044A6"/>
    <w:rsid w:val="00205466"/>
    <w:rsid w:val="0021334B"/>
    <w:rsid w:val="002144C6"/>
    <w:rsid w:val="0022230A"/>
    <w:rsid w:val="002358FF"/>
    <w:rsid w:val="00246BCF"/>
    <w:rsid w:val="00251F6E"/>
    <w:rsid w:val="00272F4D"/>
    <w:rsid w:val="00294868"/>
    <w:rsid w:val="002B511E"/>
    <w:rsid w:val="002C3648"/>
    <w:rsid w:val="002E6755"/>
    <w:rsid w:val="003235AB"/>
    <w:rsid w:val="00326DBB"/>
    <w:rsid w:val="00340867"/>
    <w:rsid w:val="00360669"/>
    <w:rsid w:val="00362544"/>
    <w:rsid w:val="00364B4F"/>
    <w:rsid w:val="00376397"/>
    <w:rsid w:val="003A23A7"/>
    <w:rsid w:val="003A5408"/>
    <w:rsid w:val="003B0D5C"/>
    <w:rsid w:val="003C3FBB"/>
    <w:rsid w:val="003C75E8"/>
    <w:rsid w:val="003D1BF8"/>
    <w:rsid w:val="003D2E1E"/>
    <w:rsid w:val="003E0DBC"/>
    <w:rsid w:val="003E754C"/>
    <w:rsid w:val="0040105F"/>
    <w:rsid w:val="00412D8D"/>
    <w:rsid w:val="004277E2"/>
    <w:rsid w:val="0043366E"/>
    <w:rsid w:val="00466B3A"/>
    <w:rsid w:val="00475A1C"/>
    <w:rsid w:val="00476BAE"/>
    <w:rsid w:val="00491C14"/>
    <w:rsid w:val="004A7EC0"/>
    <w:rsid w:val="004B6156"/>
    <w:rsid w:val="004D3666"/>
    <w:rsid w:val="004D4711"/>
    <w:rsid w:val="004E6F37"/>
    <w:rsid w:val="0050402F"/>
    <w:rsid w:val="00517661"/>
    <w:rsid w:val="00531AFA"/>
    <w:rsid w:val="00532F04"/>
    <w:rsid w:val="005857C8"/>
    <w:rsid w:val="00587528"/>
    <w:rsid w:val="005A2D36"/>
    <w:rsid w:val="005D11E6"/>
    <w:rsid w:val="005D46CA"/>
    <w:rsid w:val="005E431D"/>
    <w:rsid w:val="005E462B"/>
    <w:rsid w:val="00613412"/>
    <w:rsid w:val="00613E06"/>
    <w:rsid w:val="00664039"/>
    <w:rsid w:val="006643C3"/>
    <w:rsid w:val="00664B85"/>
    <w:rsid w:val="00665270"/>
    <w:rsid w:val="006C5A25"/>
    <w:rsid w:val="0070336A"/>
    <w:rsid w:val="00717E7A"/>
    <w:rsid w:val="0074005E"/>
    <w:rsid w:val="007530F2"/>
    <w:rsid w:val="00774740"/>
    <w:rsid w:val="007848D5"/>
    <w:rsid w:val="007B3726"/>
    <w:rsid w:val="007C4FD5"/>
    <w:rsid w:val="007F74D2"/>
    <w:rsid w:val="008153C7"/>
    <w:rsid w:val="008336E9"/>
    <w:rsid w:val="008441FF"/>
    <w:rsid w:val="00847DD0"/>
    <w:rsid w:val="00887A9C"/>
    <w:rsid w:val="008A1616"/>
    <w:rsid w:val="008A2B26"/>
    <w:rsid w:val="008B5852"/>
    <w:rsid w:val="008C3DEA"/>
    <w:rsid w:val="008E5951"/>
    <w:rsid w:val="0090258A"/>
    <w:rsid w:val="00902993"/>
    <w:rsid w:val="00913F08"/>
    <w:rsid w:val="00932CCE"/>
    <w:rsid w:val="00941578"/>
    <w:rsid w:val="00955460"/>
    <w:rsid w:val="00957D55"/>
    <w:rsid w:val="0096096E"/>
    <w:rsid w:val="0097478A"/>
    <w:rsid w:val="00980218"/>
    <w:rsid w:val="00994A5B"/>
    <w:rsid w:val="0099746B"/>
    <w:rsid w:val="009C3DA8"/>
    <w:rsid w:val="009C4948"/>
    <w:rsid w:val="009D2349"/>
    <w:rsid w:val="009E7DB2"/>
    <w:rsid w:val="009F3C04"/>
    <w:rsid w:val="00A266B4"/>
    <w:rsid w:val="00A548EE"/>
    <w:rsid w:val="00A75F14"/>
    <w:rsid w:val="00A82197"/>
    <w:rsid w:val="00AA5A71"/>
    <w:rsid w:val="00AC7A60"/>
    <w:rsid w:val="00B0254D"/>
    <w:rsid w:val="00B16B05"/>
    <w:rsid w:val="00B32880"/>
    <w:rsid w:val="00B469E9"/>
    <w:rsid w:val="00B54737"/>
    <w:rsid w:val="00B61BBE"/>
    <w:rsid w:val="00B74CCF"/>
    <w:rsid w:val="00B75106"/>
    <w:rsid w:val="00B809B3"/>
    <w:rsid w:val="00B942A6"/>
    <w:rsid w:val="00B97978"/>
    <w:rsid w:val="00BB4053"/>
    <w:rsid w:val="00BC28AF"/>
    <w:rsid w:val="00BF365B"/>
    <w:rsid w:val="00C00D32"/>
    <w:rsid w:val="00C15F9D"/>
    <w:rsid w:val="00C172E3"/>
    <w:rsid w:val="00C24C39"/>
    <w:rsid w:val="00C254CA"/>
    <w:rsid w:val="00C44E87"/>
    <w:rsid w:val="00C543E2"/>
    <w:rsid w:val="00CB05D1"/>
    <w:rsid w:val="00CD55A9"/>
    <w:rsid w:val="00CF1C90"/>
    <w:rsid w:val="00CF594F"/>
    <w:rsid w:val="00D27CF9"/>
    <w:rsid w:val="00D445AB"/>
    <w:rsid w:val="00D550F0"/>
    <w:rsid w:val="00D616B8"/>
    <w:rsid w:val="00D66D13"/>
    <w:rsid w:val="00D70089"/>
    <w:rsid w:val="00D80E1C"/>
    <w:rsid w:val="00D9170E"/>
    <w:rsid w:val="00DC5F18"/>
    <w:rsid w:val="00DD4B1B"/>
    <w:rsid w:val="00E16296"/>
    <w:rsid w:val="00E50FD9"/>
    <w:rsid w:val="00E63C76"/>
    <w:rsid w:val="00E75C59"/>
    <w:rsid w:val="00E866DF"/>
    <w:rsid w:val="00E96A9D"/>
    <w:rsid w:val="00EA0A15"/>
    <w:rsid w:val="00EA48D5"/>
    <w:rsid w:val="00EC2246"/>
    <w:rsid w:val="00ED6A9E"/>
    <w:rsid w:val="00EE7636"/>
    <w:rsid w:val="00EF2658"/>
    <w:rsid w:val="00EF5C16"/>
    <w:rsid w:val="00F10390"/>
    <w:rsid w:val="00F14BE9"/>
    <w:rsid w:val="00F36147"/>
    <w:rsid w:val="00F507B2"/>
    <w:rsid w:val="00F537BD"/>
    <w:rsid w:val="00F807C9"/>
    <w:rsid w:val="00F94E6E"/>
    <w:rsid w:val="00FA4337"/>
    <w:rsid w:val="00FC641B"/>
    <w:rsid w:val="00FC6784"/>
    <w:rsid w:val="00FE1832"/>
    <w:rsid w:val="00FE3D94"/>
    <w:rsid w:val="00FE5017"/>
    <w:rsid w:val="00FF37E9"/>
    <w:rsid w:val="00FF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1023"/>
  <w15:chartTrackingRefBased/>
  <w15:docId w15:val="{E64A6E34-C465-4F1B-968F-38957B9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3648"/>
    <w:rPr>
      <w:sz w:val="24"/>
      <w:szCs w:val="24"/>
    </w:rPr>
  </w:style>
  <w:style w:type="paragraph" w:styleId="Kop1">
    <w:name w:val="heading 1"/>
    <w:basedOn w:val="Standaard"/>
    <w:next w:val="Standaard"/>
    <w:link w:val="Kop1Char"/>
    <w:qFormat/>
    <w:rsid w:val="00774740"/>
    <w:pPr>
      <w:keepNext/>
      <w:spacing w:before="240" w:after="60"/>
      <w:outlineLvl w:val="0"/>
    </w:pPr>
    <w:rPr>
      <w:rFonts w:ascii="Cambria" w:hAnsi="Cambria"/>
      <w:b/>
      <w:bCs/>
      <w:kern w:val="32"/>
      <w:sz w:val="32"/>
      <w:szCs w:val="32"/>
      <w:lang w:eastAsia="en-US"/>
    </w:rPr>
  </w:style>
  <w:style w:type="paragraph" w:styleId="Kop3">
    <w:name w:val="heading 3"/>
    <w:basedOn w:val="Standaard"/>
    <w:next w:val="Standaard"/>
    <w:link w:val="Kop3Char"/>
    <w:semiHidden/>
    <w:unhideWhenUsed/>
    <w:qFormat/>
    <w:rsid w:val="00B97978"/>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B97978"/>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45AB"/>
    <w:rPr>
      <w:sz w:val="24"/>
      <w:szCs w:val="24"/>
    </w:rPr>
  </w:style>
  <w:style w:type="character" w:customStyle="1" w:styleId="Kop1Char">
    <w:name w:val="Kop 1 Char"/>
    <w:link w:val="Kop1"/>
    <w:rsid w:val="00774740"/>
    <w:rPr>
      <w:rFonts w:ascii="Cambria" w:eastAsia="Times New Roman" w:hAnsi="Cambria" w:cs="Times New Roman"/>
      <w:b/>
      <w:bCs/>
      <w:kern w:val="32"/>
      <w:sz w:val="32"/>
      <w:szCs w:val="32"/>
    </w:rPr>
  </w:style>
  <w:style w:type="paragraph" w:styleId="Lijstalinea">
    <w:name w:val="List Paragraph"/>
    <w:basedOn w:val="Standaard"/>
    <w:uiPriority w:val="34"/>
    <w:qFormat/>
    <w:rsid w:val="00774740"/>
    <w:pPr>
      <w:ind w:left="708"/>
    </w:pPr>
  </w:style>
  <w:style w:type="character" w:customStyle="1" w:styleId="TekstzonderopmaakChar">
    <w:name w:val="Tekst zonder opmaak Char"/>
    <w:link w:val="Tekstzonderopmaak"/>
    <w:semiHidden/>
    <w:locked/>
    <w:rsid w:val="002C3648"/>
    <w:rPr>
      <w:rFonts w:ascii="Calibri" w:hAnsi="Calibri"/>
      <w:szCs w:val="21"/>
    </w:rPr>
  </w:style>
  <w:style w:type="paragraph" w:styleId="Tekstzonderopmaak">
    <w:name w:val="Plain Text"/>
    <w:basedOn w:val="Standaard"/>
    <w:link w:val="TekstzonderopmaakChar"/>
    <w:semiHidden/>
    <w:rsid w:val="002C3648"/>
    <w:rPr>
      <w:rFonts w:ascii="Calibri" w:hAnsi="Calibri"/>
      <w:sz w:val="20"/>
      <w:szCs w:val="21"/>
    </w:rPr>
  </w:style>
  <w:style w:type="character" w:customStyle="1" w:styleId="TekstzonderopmaakChar1">
    <w:name w:val="Tekst zonder opmaak Char1"/>
    <w:uiPriority w:val="99"/>
    <w:semiHidden/>
    <w:rsid w:val="002C3648"/>
    <w:rPr>
      <w:rFonts w:ascii="Courier New" w:hAnsi="Courier New" w:cs="Courier New"/>
    </w:rPr>
  </w:style>
  <w:style w:type="character" w:customStyle="1" w:styleId="contentbody1">
    <w:name w:val="contentbody1"/>
    <w:rsid w:val="002C3648"/>
    <w:rPr>
      <w:rFonts w:ascii="Verdana" w:hAnsi="Verdana" w:hint="default"/>
      <w:color w:val="514F4F"/>
      <w:sz w:val="17"/>
      <w:szCs w:val="17"/>
    </w:rPr>
  </w:style>
  <w:style w:type="character" w:styleId="Hyperlink">
    <w:name w:val="Hyperlink"/>
    <w:uiPriority w:val="99"/>
    <w:rsid w:val="002C3648"/>
    <w:rPr>
      <w:color w:val="0000FF"/>
      <w:u w:val="single"/>
    </w:rPr>
  </w:style>
  <w:style w:type="table" w:styleId="Tabelraster">
    <w:name w:val="Table Grid"/>
    <w:basedOn w:val="Standaardtabel"/>
    <w:uiPriority w:val="39"/>
    <w:rsid w:val="0027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94F"/>
    <w:pPr>
      <w:autoSpaceDE w:val="0"/>
      <w:autoSpaceDN w:val="0"/>
      <w:adjustRightInd w:val="0"/>
    </w:pPr>
    <w:rPr>
      <w:rFonts w:ascii="Arial" w:hAnsi="Arial" w:cs="Arial"/>
      <w:color w:val="000000"/>
      <w:sz w:val="24"/>
      <w:szCs w:val="24"/>
    </w:rPr>
  </w:style>
  <w:style w:type="character" w:styleId="Nadruk">
    <w:name w:val="Emphasis"/>
    <w:uiPriority w:val="20"/>
    <w:qFormat/>
    <w:rsid w:val="00F14BE9"/>
    <w:rPr>
      <w:i/>
      <w:iCs/>
    </w:rPr>
  </w:style>
  <w:style w:type="character" w:styleId="GevolgdeHyperlink">
    <w:name w:val="FollowedHyperlink"/>
    <w:uiPriority w:val="99"/>
    <w:semiHidden/>
    <w:unhideWhenUsed/>
    <w:rsid w:val="009C3DA8"/>
    <w:rPr>
      <w:color w:val="800080"/>
      <w:u w:val="single"/>
    </w:rPr>
  </w:style>
  <w:style w:type="paragraph" w:styleId="Ballontekst">
    <w:name w:val="Balloon Text"/>
    <w:basedOn w:val="Standaard"/>
    <w:link w:val="BallontekstChar"/>
    <w:uiPriority w:val="99"/>
    <w:semiHidden/>
    <w:unhideWhenUsed/>
    <w:rsid w:val="00B54737"/>
    <w:rPr>
      <w:rFonts w:ascii="Tahoma" w:hAnsi="Tahoma" w:cs="Tahoma"/>
      <w:sz w:val="16"/>
      <w:szCs w:val="16"/>
    </w:rPr>
  </w:style>
  <w:style w:type="character" w:customStyle="1" w:styleId="BallontekstChar">
    <w:name w:val="Ballontekst Char"/>
    <w:link w:val="Ballontekst"/>
    <w:uiPriority w:val="99"/>
    <w:semiHidden/>
    <w:rsid w:val="00B54737"/>
    <w:rPr>
      <w:rFonts w:ascii="Tahoma" w:hAnsi="Tahoma" w:cs="Tahoma"/>
      <w:sz w:val="16"/>
      <w:szCs w:val="16"/>
    </w:rPr>
  </w:style>
  <w:style w:type="character" w:customStyle="1" w:styleId="Kop3Char">
    <w:name w:val="Kop 3 Char"/>
    <w:link w:val="Kop3"/>
    <w:semiHidden/>
    <w:rsid w:val="00B97978"/>
    <w:rPr>
      <w:rFonts w:ascii="Cambria" w:eastAsia="Times New Roman" w:hAnsi="Cambria" w:cs="Times New Roman"/>
      <w:b/>
      <w:bCs/>
      <w:sz w:val="26"/>
      <w:szCs w:val="26"/>
    </w:rPr>
  </w:style>
  <w:style w:type="character" w:customStyle="1" w:styleId="Kop4Char">
    <w:name w:val="Kop 4 Char"/>
    <w:link w:val="Kop4"/>
    <w:semiHidden/>
    <w:rsid w:val="00B97978"/>
    <w:rPr>
      <w:rFonts w:ascii="Calibri" w:eastAsia="Times New Roman" w:hAnsi="Calibri" w:cs="Times New Roman"/>
      <w:b/>
      <w:bCs/>
      <w:sz w:val="28"/>
      <w:szCs w:val="28"/>
    </w:rPr>
  </w:style>
  <w:style w:type="character" w:styleId="Verwijzingopmerking">
    <w:name w:val="annotation reference"/>
    <w:basedOn w:val="Standaardalinea-lettertype"/>
    <w:uiPriority w:val="99"/>
    <w:semiHidden/>
    <w:unhideWhenUsed/>
    <w:rsid w:val="00205466"/>
    <w:rPr>
      <w:sz w:val="16"/>
      <w:szCs w:val="16"/>
    </w:rPr>
  </w:style>
  <w:style w:type="paragraph" w:styleId="Tekstopmerking">
    <w:name w:val="annotation text"/>
    <w:basedOn w:val="Standaard"/>
    <w:link w:val="TekstopmerkingChar"/>
    <w:uiPriority w:val="99"/>
    <w:semiHidden/>
    <w:unhideWhenUsed/>
    <w:rsid w:val="00205466"/>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205466"/>
    <w:rPr>
      <w:rFonts w:asciiTheme="minorHAnsi" w:eastAsiaTheme="minorHAnsi" w:hAnsiTheme="minorHAnsi" w:cstheme="minorBidi"/>
      <w:lang w:eastAsia="en-US"/>
    </w:rPr>
  </w:style>
  <w:style w:type="character" w:customStyle="1" w:styleId="apple-converted-space">
    <w:name w:val="apple-converted-space"/>
    <w:basedOn w:val="Standaardalinea-lettertype"/>
    <w:rsid w:val="000F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0170">
      <w:bodyDiv w:val="1"/>
      <w:marLeft w:val="0"/>
      <w:marRight w:val="0"/>
      <w:marTop w:val="0"/>
      <w:marBottom w:val="0"/>
      <w:divBdr>
        <w:top w:val="none" w:sz="0" w:space="0" w:color="auto"/>
        <w:left w:val="none" w:sz="0" w:space="0" w:color="auto"/>
        <w:bottom w:val="none" w:sz="0" w:space="0" w:color="auto"/>
        <w:right w:val="none" w:sz="0" w:space="0" w:color="auto"/>
      </w:divBdr>
      <w:divsChild>
        <w:div w:id="1740515114">
          <w:marLeft w:val="0"/>
          <w:marRight w:val="0"/>
          <w:marTop w:val="0"/>
          <w:marBottom w:val="0"/>
          <w:divBdr>
            <w:top w:val="none" w:sz="0" w:space="0" w:color="auto"/>
            <w:left w:val="none" w:sz="0" w:space="0" w:color="auto"/>
            <w:bottom w:val="none" w:sz="0" w:space="0" w:color="auto"/>
            <w:right w:val="none" w:sz="0" w:space="0" w:color="auto"/>
          </w:divBdr>
          <w:divsChild>
            <w:div w:id="2125146004">
              <w:marLeft w:val="-225"/>
              <w:marRight w:val="0"/>
              <w:marTop w:val="0"/>
              <w:marBottom w:val="0"/>
              <w:divBdr>
                <w:top w:val="none" w:sz="0" w:space="0" w:color="auto"/>
                <w:left w:val="none" w:sz="0" w:space="0" w:color="auto"/>
                <w:bottom w:val="none" w:sz="0" w:space="0" w:color="auto"/>
                <w:right w:val="none" w:sz="0" w:space="0" w:color="auto"/>
              </w:divBdr>
              <w:divsChild>
                <w:div w:id="723985597">
                  <w:marLeft w:val="0"/>
                  <w:marRight w:val="0"/>
                  <w:marTop w:val="0"/>
                  <w:marBottom w:val="0"/>
                  <w:divBdr>
                    <w:top w:val="none" w:sz="0" w:space="0" w:color="auto"/>
                    <w:left w:val="none" w:sz="0" w:space="0" w:color="auto"/>
                    <w:bottom w:val="none" w:sz="0" w:space="0" w:color="auto"/>
                    <w:right w:val="none" w:sz="0" w:space="0" w:color="auto"/>
                  </w:divBdr>
                  <w:divsChild>
                    <w:div w:id="526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4.safelinks.protection.outlook.com/?url=https%3A%2F%2Fwww.te-learning.nl%2Fblog&amp;data=04%7C01%7Ck.r.timmermans%40amsterdamumc.nl%7Cffd6df91ce35442cb1b708d8c2e74a0a%7C68dfab1a11bb4cc6beb528d756984fb6%7C0%7C0%7C637473645927698671%7CUnknown%7CTWFpbGZsb3d8eyJWIjoiMC4wLjAwMDAiLCJQIjoiV2luMzIiLCJBTiI6Ik1haWwiLCJXVCI6Mn0%3D%7C1000&amp;sdata=fcFXQwXFOj5xNzAkFYdiH9qQGrG9kvtcP%2FiQUsq5qL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4.safelinks.protection.outlook.com/?url=http%3A%2F%2Fe-learning.nl%2F&amp;data=04%7C01%7Ck.r.timmermans%40amsterdamumc.nl%7Cffd6df91ce35442cb1b708d8c2e74a0a%7C68dfab1a11bb4cc6beb528d756984fb6%7C0%7C0%7C637473645927698671%7CUnknown%7CTWFpbGZsb3d8eyJWIjoiMC4wLjAwMDAiLCJQIjoiV2luMzIiLCJBTiI6Ik1haWwiLCJXVCI6Mn0%3D%7C1000&amp;sdata=e8pxwCIykOXLRR8Fd%2Fpht7v5f0vYHr6xdFmclwk1p4o%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126A23-C61F-4AD2-8F3B-6475430C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1719</Words>
  <Characters>9458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11155</CharactersWithSpaces>
  <SharedDoc>false</SharedDoc>
  <HLinks>
    <vt:vector size="72" baseType="variant">
      <vt:variant>
        <vt:i4>6094861</vt:i4>
      </vt:variant>
      <vt:variant>
        <vt:i4>290</vt:i4>
      </vt:variant>
      <vt:variant>
        <vt:i4>0</vt:i4>
      </vt:variant>
      <vt:variant>
        <vt:i4>5</vt:i4>
      </vt:variant>
      <vt:variant>
        <vt:lpwstr>https://www.knmg.nl/opleiding-herregistratie-carriere/gaia/aanbieders.htm</vt:lpwstr>
      </vt:variant>
      <vt:variant>
        <vt:lpwstr/>
      </vt:variant>
      <vt:variant>
        <vt:i4>4653085</vt:i4>
      </vt:variant>
      <vt:variant>
        <vt:i4>287</vt:i4>
      </vt:variant>
      <vt:variant>
        <vt:i4>0</vt:i4>
      </vt:variant>
      <vt:variant>
        <vt:i4>5</vt:i4>
      </vt:variant>
      <vt:variant>
        <vt:lpwstr>https://www.knmg.nl/opleiding-herregistratie-carriere/gaia/regelgeving-en-faq/algemene-nascholing.htm</vt:lpwstr>
      </vt:variant>
      <vt:variant>
        <vt:lpwstr/>
      </vt:variant>
      <vt:variant>
        <vt:i4>7209087</vt:i4>
      </vt:variant>
      <vt:variant>
        <vt:i4>284</vt:i4>
      </vt:variant>
      <vt:variant>
        <vt:i4>0</vt:i4>
      </vt:variant>
      <vt:variant>
        <vt:i4>5</vt:i4>
      </vt:variant>
      <vt:variant>
        <vt:lpwstr>http://knmg.artsennet.nl/Opleiding-en-herregistratie/GAIA-accreditatie/Accreditatieregelgeving/Algemene-nascholing.htm</vt:lpwstr>
      </vt:variant>
      <vt:variant>
        <vt:lpwstr/>
      </vt:variant>
      <vt:variant>
        <vt:i4>8323187</vt:i4>
      </vt:variant>
      <vt:variant>
        <vt:i4>281</vt:i4>
      </vt:variant>
      <vt:variant>
        <vt:i4>0</vt:i4>
      </vt:variant>
      <vt:variant>
        <vt:i4>5</vt:i4>
      </vt:variant>
      <vt:variant>
        <vt:lpwstr>https://www.knmg.nl/web/file?uuid=a9286474-c948-4fe3-9162-fa6dcf8cb4d0&amp;owner=5c945405-d6ca-4deb-aa16-7af2088aa173&amp;contentid=430</vt:lpwstr>
      </vt:variant>
      <vt:variant>
        <vt:lpwstr/>
      </vt:variant>
      <vt:variant>
        <vt:i4>6488114</vt:i4>
      </vt:variant>
      <vt:variant>
        <vt:i4>188</vt:i4>
      </vt:variant>
      <vt:variant>
        <vt:i4>0</vt:i4>
      </vt:variant>
      <vt:variant>
        <vt:i4>5</vt:i4>
      </vt:variant>
      <vt:variant>
        <vt:lpwstr>https://www.pe-online.org/proforg/19/66/RegelgevingABANdecember2014.pdf</vt:lpwstr>
      </vt:variant>
      <vt:variant>
        <vt:lpwstr/>
      </vt:variant>
      <vt:variant>
        <vt:i4>8061045</vt:i4>
      </vt:variant>
      <vt:variant>
        <vt:i4>183</vt:i4>
      </vt:variant>
      <vt:variant>
        <vt:i4>0</vt:i4>
      </vt:variant>
      <vt:variant>
        <vt:i4>5</vt:i4>
      </vt:variant>
      <vt:variant>
        <vt:lpwstr>http://www.cgr.nl/</vt:lpwstr>
      </vt:variant>
      <vt:variant>
        <vt:lpwstr/>
      </vt:variant>
      <vt:variant>
        <vt:i4>721023</vt:i4>
      </vt:variant>
      <vt:variant>
        <vt:i4>121</vt:i4>
      </vt:variant>
      <vt:variant>
        <vt:i4>0</vt:i4>
      </vt:variant>
      <vt:variant>
        <vt:i4>5</vt:i4>
      </vt:variant>
      <vt:variant>
        <vt:lpwstr>mailto:bns@amc.uva.nl</vt:lpwstr>
      </vt:variant>
      <vt:variant>
        <vt:lpwstr/>
      </vt:variant>
      <vt:variant>
        <vt:i4>7209087</vt:i4>
      </vt:variant>
      <vt:variant>
        <vt:i4>114</vt:i4>
      </vt:variant>
      <vt:variant>
        <vt:i4>0</vt:i4>
      </vt:variant>
      <vt:variant>
        <vt:i4>5</vt:i4>
      </vt:variant>
      <vt:variant>
        <vt:lpwstr>http://knmg.artsennet.nl/Opleiding-en-herregistratie/GAIA-accreditatie/Accreditatieregelgeving/Algemene-nascholing.htm</vt:lpwstr>
      </vt:variant>
      <vt:variant>
        <vt:lpwstr/>
      </vt:variant>
      <vt:variant>
        <vt:i4>7209087</vt:i4>
      </vt:variant>
      <vt:variant>
        <vt:i4>109</vt:i4>
      </vt:variant>
      <vt:variant>
        <vt:i4>0</vt:i4>
      </vt:variant>
      <vt:variant>
        <vt:i4>5</vt:i4>
      </vt:variant>
      <vt:variant>
        <vt:lpwstr>http://knmg.artsennet.nl/Opleiding-en-herregistratie/GAIA-accreditatie/Accreditatieregelgeving/Algemene-nascholing.htm</vt:lpwstr>
      </vt:variant>
      <vt:variant>
        <vt:lpwstr/>
      </vt:variant>
      <vt:variant>
        <vt:i4>721023</vt:i4>
      </vt:variant>
      <vt:variant>
        <vt:i4>3</vt:i4>
      </vt:variant>
      <vt:variant>
        <vt:i4>0</vt:i4>
      </vt:variant>
      <vt:variant>
        <vt:i4>5</vt:i4>
      </vt:variant>
      <vt:variant>
        <vt:lpwstr>mailto:bns@amc.uva.nl</vt:lpwstr>
      </vt:variant>
      <vt:variant>
        <vt:lpwstr/>
      </vt:variant>
      <vt:variant>
        <vt:i4>6815809</vt:i4>
      </vt:variant>
      <vt:variant>
        <vt:i4>0</vt:i4>
      </vt:variant>
      <vt:variant>
        <vt:i4>0</vt:i4>
      </vt:variant>
      <vt:variant>
        <vt:i4>5</vt:i4>
      </vt:variant>
      <vt:variant>
        <vt:lpwstr>mailto:p.f.demaaijer@amc.nl</vt:lpwstr>
      </vt:variant>
      <vt:variant>
        <vt:lpwstr/>
      </vt:variant>
      <vt:variant>
        <vt:i4>4653085</vt:i4>
      </vt:variant>
      <vt:variant>
        <vt:i4>54323</vt:i4>
      </vt:variant>
      <vt:variant>
        <vt:i4>1025</vt:i4>
      </vt:variant>
      <vt:variant>
        <vt:i4>4</vt:i4>
      </vt:variant>
      <vt:variant>
        <vt:lpwstr>https://www.knmg.nl/opleiding-herregistratie-carriere/gaia/regelgeving-en-faq/algemene-nascholing.htm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 de Maaijer</dc:creator>
  <cp:keywords/>
  <cp:lastModifiedBy>Malsen, J.E. van (Jantina)</cp:lastModifiedBy>
  <cp:revision>3</cp:revision>
  <cp:lastPrinted>2015-10-08T08:39:00Z</cp:lastPrinted>
  <dcterms:created xsi:type="dcterms:W3CDTF">2021-02-12T10:07:00Z</dcterms:created>
  <dcterms:modified xsi:type="dcterms:W3CDTF">2021-02-12T10:08:00Z</dcterms:modified>
</cp:coreProperties>
</file>